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9E7" w:rsidRDefault="003E5CEE" w:rsidP="00CB59E7">
      <w:pPr>
        <w:spacing w:line="0" w:lineRule="atLeast"/>
        <w:rPr>
          <w:rFonts w:ascii="Arial" w:eastAsia="Arial" w:hAnsi="Arial"/>
          <w:b/>
          <w:color w:val="FF0000"/>
          <w:sz w:val="28"/>
          <w:szCs w:val="4"/>
        </w:rPr>
      </w:pPr>
      <w:r>
        <w:rPr>
          <w:rFonts w:ascii="Arial" w:eastAsia="Arial" w:hAnsi="Arial"/>
          <w:b/>
          <w:noProof/>
          <w:color w:val="FF0000"/>
          <w:sz w:val="28"/>
          <w:szCs w:val="4"/>
        </w:rPr>
        <w:pict>
          <v:shapetype id="_x0000_t202" coordsize="21600,21600" o:spt="202" path="m,l,21600r21600,l21600,xe">
            <v:stroke joinstyle="miter"/>
            <v:path gradientshapeok="t" o:connecttype="rect"/>
          </v:shapetype>
          <v:shape id="_x0000_s1026" type="#_x0000_t202" style="position:absolute;margin-left:76.65pt;margin-top:-7.35pt;width:621pt;height:33.75pt;z-index:251658240" strokeweight="1.5pt">
            <v:textbox>
              <w:txbxContent>
                <w:p w:rsidR="003A27E0" w:rsidRPr="003E5CEE" w:rsidRDefault="003A27E0" w:rsidP="003E5CEE">
                  <w:pPr>
                    <w:spacing w:line="0" w:lineRule="atLeast"/>
                    <w:rPr>
                      <w:rFonts w:asciiTheme="minorBidi" w:eastAsia="Arial" w:hAnsiTheme="minorBidi" w:cstheme="minorBidi"/>
                      <w:b/>
                      <w:color w:val="FF0066"/>
                      <w:sz w:val="52"/>
                      <w:szCs w:val="16"/>
                    </w:rPr>
                  </w:pPr>
                  <w:r w:rsidRPr="003E5CEE">
                    <w:rPr>
                      <w:rFonts w:asciiTheme="minorBidi" w:eastAsia="Arial" w:hAnsiTheme="minorBidi" w:cstheme="minorBidi"/>
                      <w:b/>
                      <w:color w:val="FF0066"/>
                      <w:sz w:val="52"/>
                      <w:szCs w:val="16"/>
                    </w:rPr>
                    <w:t>LES ANTI- MITTOTIQUES D’ORIGINE VEGETALE</w:t>
                  </w:r>
                </w:p>
                <w:p w:rsidR="003A27E0" w:rsidRDefault="003A27E0"/>
              </w:txbxContent>
            </v:textbox>
          </v:shape>
        </w:pict>
      </w:r>
    </w:p>
    <w:p w:rsidR="00CB59E7" w:rsidRDefault="00CB59E7" w:rsidP="00CB59E7">
      <w:pPr>
        <w:spacing w:line="0" w:lineRule="atLeast"/>
        <w:rPr>
          <w:rFonts w:asciiTheme="minorHAnsi" w:eastAsia="Arial" w:hAnsiTheme="minorHAnsi" w:cstheme="minorHAnsi"/>
          <w:b/>
          <w:color w:val="FF0000"/>
          <w:sz w:val="28"/>
          <w:szCs w:val="28"/>
        </w:rPr>
      </w:pPr>
    </w:p>
    <w:p w:rsidR="003E5CEE" w:rsidRDefault="003E5CEE" w:rsidP="00CB59E7">
      <w:pPr>
        <w:spacing w:line="0" w:lineRule="atLeast"/>
        <w:rPr>
          <w:rFonts w:asciiTheme="minorHAnsi" w:eastAsia="Arial" w:hAnsiTheme="minorHAnsi" w:cstheme="minorHAnsi"/>
          <w:b/>
          <w:color w:val="FF0000"/>
          <w:sz w:val="28"/>
          <w:szCs w:val="28"/>
        </w:rPr>
      </w:pPr>
    </w:p>
    <w:p w:rsidR="003E5CEE" w:rsidRPr="008977D0" w:rsidRDefault="003E5CEE" w:rsidP="00CB59E7">
      <w:pPr>
        <w:spacing w:line="0" w:lineRule="atLeast"/>
        <w:rPr>
          <w:rFonts w:asciiTheme="minorHAnsi" w:eastAsia="Arial" w:hAnsiTheme="minorHAnsi" w:cstheme="minorHAnsi"/>
          <w:b/>
          <w:color w:val="FF0000"/>
          <w:sz w:val="28"/>
          <w:szCs w:val="28"/>
        </w:rPr>
      </w:pPr>
    </w:p>
    <w:p w:rsidR="00CB59E7" w:rsidRPr="003E5CEE" w:rsidRDefault="00CB59E7" w:rsidP="00CB59E7">
      <w:pPr>
        <w:rPr>
          <w:rFonts w:asciiTheme="minorHAnsi" w:eastAsia="Arial" w:hAnsiTheme="minorHAnsi" w:cstheme="minorHAnsi"/>
          <w:b/>
          <w:color w:val="FF0000"/>
          <w:sz w:val="32"/>
          <w:szCs w:val="32"/>
          <w:u w:val="single"/>
        </w:rPr>
      </w:pPr>
      <w:r w:rsidRPr="003E5CEE">
        <w:rPr>
          <w:rFonts w:asciiTheme="minorHAnsi" w:eastAsia="Arial" w:hAnsiTheme="minorHAnsi" w:cstheme="minorHAnsi"/>
          <w:b/>
          <w:color w:val="FF0000"/>
          <w:sz w:val="32"/>
          <w:szCs w:val="32"/>
          <w:u w:val="single"/>
        </w:rPr>
        <w:t>GENERALITES:</w:t>
      </w:r>
    </w:p>
    <w:p w:rsidR="00CB59E7" w:rsidRPr="008875E1" w:rsidRDefault="00CB59E7" w:rsidP="00CB59E7">
      <w:pPr>
        <w:rPr>
          <w:rFonts w:asciiTheme="minorHAnsi" w:eastAsia="Arial" w:hAnsiTheme="minorHAnsi" w:cstheme="minorHAnsi"/>
          <w:bCs/>
          <w:sz w:val="22"/>
          <w:szCs w:val="22"/>
        </w:rPr>
      </w:pPr>
    </w:p>
    <w:p w:rsidR="00CB59E7" w:rsidRPr="003E5CEE" w:rsidRDefault="00CB59E7" w:rsidP="00CB59E7">
      <w:pPr>
        <w:rPr>
          <w:rFonts w:asciiTheme="minorHAnsi" w:eastAsia="Arial" w:hAnsiTheme="minorHAnsi" w:cstheme="minorHAnsi"/>
          <w:b/>
          <w:color w:val="006600"/>
          <w:sz w:val="26"/>
          <w:szCs w:val="26"/>
        </w:rPr>
      </w:pPr>
      <w:r w:rsidRPr="003E5CEE">
        <w:rPr>
          <w:rFonts w:asciiTheme="minorHAnsi" w:eastAsia="Arial" w:hAnsiTheme="minorHAnsi" w:cstheme="minorHAnsi"/>
          <w:b/>
          <w:color w:val="006600"/>
          <w:sz w:val="26"/>
          <w:szCs w:val="26"/>
        </w:rPr>
        <w:t>CLASSIFICATION DES PRODUITS ANTI-CANCEREUX</w:t>
      </w:r>
    </w:p>
    <w:p w:rsidR="00CB59E7" w:rsidRPr="008875E1" w:rsidRDefault="00CB59E7" w:rsidP="00CB59E7">
      <w:pPr>
        <w:rPr>
          <w:rFonts w:asciiTheme="minorHAnsi" w:eastAsia="Arial" w:hAnsiTheme="minorHAnsi" w:cstheme="minorHAnsi"/>
          <w:bCs/>
          <w:sz w:val="22"/>
          <w:szCs w:val="22"/>
        </w:rPr>
      </w:pPr>
    </w:p>
    <w:p w:rsidR="003E5CEE" w:rsidRDefault="00CB59E7" w:rsidP="003E5CEE">
      <w:pPr>
        <w:rPr>
          <w:rFonts w:asciiTheme="minorHAnsi" w:eastAsia="Arial" w:hAnsiTheme="minorHAnsi" w:cstheme="minorHAnsi"/>
          <w:bCs/>
          <w:sz w:val="22"/>
          <w:szCs w:val="22"/>
        </w:rPr>
      </w:pPr>
      <w:r w:rsidRPr="008875E1">
        <w:rPr>
          <w:rFonts w:asciiTheme="minorHAnsi" w:eastAsia="Arial" w:hAnsiTheme="minorHAnsi" w:cstheme="minorHAnsi"/>
          <w:bCs/>
          <w:sz w:val="22"/>
          <w:szCs w:val="22"/>
        </w:rPr>
        <w:t>Les anti-cancéreux agissent sur le métabolisme des cellules.</w:t>
      </w:r>
    </w:p>
    <w:p w:rsidR="00CB59E7" w:rsidRPr="008875E1" w:rsidRDefault="00CB59E7" w:rsidP="003E5CEE">
      <w:pPr>
        <w:rPr>
          <w:rFonts w:asciiTheme="minorHAnsi" w:eastAsia="Arial" w:hAnsiTheme="minorHAnsi" w:cstheme="minorHAnsi"/>
          <w:bCs/>
          <w:sz w:val="22"/>
          <w:szCs w:val="22"/>
        </w:rPr>
      </w:pPr>
      <w:r w:rsidRPr="008875E1">
        <w:rPr>
          <w:rFonts w:asciiTheme="minorHAnsi" w:eastAsia="Arial" w:hAnsiTheme="minorHAnsi" w:cstheme="minorHAnsi"/>
          <w:bCs/>
          <w:sz w:val="22"/>
          <w:szCs w:val="22"/>
        </w:rPr>
        <w:t>La cellule au cours de sa vie va connaître successivement toutes les phases G1, S, G2 et la phase de la mitose M ainsi que la phase G0.</w:t>
      </w:r>
    </w:p>
    <w:p w:rsidR="00CB59E7" w:rsidRPr="003E5CEE" w:rsidRDefault="003E5CEE" w:rsidP="003E5CEE">
      <w:pPr>
        <w:rPr>
          <w:rFonts w:asciiTheme="minorHAnsi" w:eastAsia="Arial" w:hAnsiTheme="minorHAnsi" w:cstheme="minorHAnsi"/>
          <w:bCs/>
          <w:sz w:val="22"/>
          <w:szCs w:val="22"/>
        </w:rPr>
      </w:pPr>
      <w:r w:rsidRPr="00533D5C">
        <w:rPr>
          <w:rFonts w:cs="Calibri"/>
          <w:b/>
          <w:bCs/>
        </w:rPr>
        <w:t>•</w:t>
      </w:r>
      <w:r w:rsidR="00CB59E7" w:rsidRPr="008875E1">
        <w:rPr>
          <w:rFonts w:asciiTheme="minorHAnsi" w:eastAsia="Arial" w:hAnsiTheme="minorHAnsi" w:cstheme="minorHAnsi"/>
          <w:bCs/>
          <w:sz w:val="22"/>
          <w:szCs w:val="22"/>
        </w:rPr>
        <w:t>La chimiothérapie en Cancérologie est basée sur l’usage de médicaments interférant entre le métabolisme et la vie cellulaire et qui, de ce fait, sont</w:t>
      </w:r>
      <w:r>
        <w:rPr>
          <w:rFonts w:asciiTheme="minorHAnsi" w:eastAsia="Arial" w:hAnsiTheme="minorHAnsi" w:cstheme="minorHAnsi"/>
          <w:bCs/>
          <w:sz w:val="22"/>
          <w:szCs w:val="22"/>
        </w:rPr>
        <w:t xml:space="preserve"> </w:t>
      </w:r>
      <w:r w:rsidR="00CB59E7" w:rsidRPr="008875E1">
        <w:rPr>
          <w:rFonts w:asciiTheme="minorHAnsi" w:eastAsia="Arial" w:hAnsiTheme="minorHAnsi" w:cstheme="minorHAnsi"/>
          <w:sz w:val="22"/>
          <w:szCs w:val="22"/>
        </w:rPr>
        <w:t>cytotoxique : c’est par ce Mécanisme que la chimiothérapie anti-cancéreuse permet d’inhiber la croissance tumorale.</w:t>
      </w:r>
    </w:p>
    <w:p w:rsidR="00CB59E7" w:rsidRPr="008875E1" w:rsidRDefault="00CB59E7" w:rsidP="00CB59E7">
      <w:pPr>
        <w:rPr>
          <w:rFonts w:asciiTheme="minorHAnsi" w:eastAsia="Times New Roman" w:hAnsiTheme="minorHAnsi" w:cstheme="minorHAnsi"/>
          <w:sz w:val="22"/>
          <w:szCs w:val="22"/>
        </w:rPr>
      </w:pPr>
    </w:p>
    <w:p w:rsidR="00CB59E7" w:rsidRPr="003E5CEE" w:rsidRDefault="00CB59E7" w:rsidP="003E5CEE">
      <w:pPr>
        <w:rPr>
          <w:rFonts w:asciiTheme="minorHAnsi" w:eastAsia="Arial" w:hAnsiTheme="minorHAnsi" w:cstheme="minorHAnsi"/>
          <w:b/>
          <w:bCs/>
          <w:color w:val="0070C0"/>
          <w:sz w:val="22"/>
          <w:szCs w:val="22"/>
        </w:rPr>
      </w:pPr>
      <w:r w:rsidRPr="003E5CEE">
        <w:rPr>
          <w:rFonts w:asciiTheme="minorHAnsi" w:eastAsia="Arial" w:hAnsiTheme="minorHAnsi" w:cstheme="minorHAnsi"/>
          <w:b/>
          <w:bCs/>
          <w:color w:val="0070C0"/>
          <w:sz w:val="22"/>
          <w:szCs w:val="22"/>
        </w:rPr>
        <w:t>Principe de la poly-chimiothérapie :</w:t>
      </w:r>
    </w:p>
    <w:p w:rsidR="00CB59E7" w:rsidRPr="003E5CEE" w:rsidRDefault="00CB59E7" w:rsidP="003E5CEE">
      <w:pPr>
        <w:rPr>
          <w:rFonts w:asciiTheme="minorHAnsi" w:eastAsia="Arial" w:hAnsiTheme="minorHAnsi" w:cstheme="minorHAnsi"/>
          <w:sz w:val="22"/>
          <w:szCs w:val="22"/>
        </w:rPr>
      </w:pPr>
      <w:r w:rsidRPr="008875E1">
        <w:rPr>
          <w:rFonts w:asciiTheme="minorHAnsi" w:eastAsia="Arial" w:hAnsiTheme="minorHAnsi" w:cstheme="minorHAnsi"/>
          <w:sz w:val="22"/>
          <w:szCs w:val="22"/>
        </w:rPr>
        <w:t>Les agents anticancéreux sont généralement utilisés en association car la combinaison de plusieurs médicaments est plus efficace que l’administration successive de même médicament séparément (effet à la fois additif et synergique).</w:t>
      </w:r>
    </w:p>
    <w:p w:rsidR="00CB59E7" w:rsidRPr="00CB59E7" w:rsidRDefault="00CB59E7" w:rsidP="00CB59E7">
      <w:pPr>
        <w:rPr>
          <w:rFonts w:asciiTheme="minorHAnsi" w:eastAsia="Arial" w:hAnsiTheme="minorHAnsi" w:cstheme="minorHAnsi"/>
          <w:sz w:val="22"/>
          <w:szCs w:val="22"/>
        </w:rPr>
      </w:pPr>
      <w:r w:rsidRPr="008875E1">
        <w:rPr>
          <w:rFonts w:asciiTheme="minorHAnsi" w:eastAsia="Arial" w:hAnsiTheme="minorHAnsi" w:cstheme="minorHAnsi"/>
          <w:sz w:val="22"/>
          <w:szCs w:val="22"/>
        </w:rPr>
        <w:t>On associe habituellement les molécules les plus actives sur une tumeur donné ayant des mécanismes d’action différents, une toxicité différente mais qui ne présentent pas entre eux des interattractions de métabolisme.</w:t>
      </w:r>
    </w:p>
    <w:p w:rsidR="00CB59E7" w:rsidRDefault="00CB59E7"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r w:rsidRPr="00C46709">
        <w:rPr>
          <w:rFonts w:asciiTheme="minorHAnsi" w:eastAsia="Arial" w:hAnsiTheme="minorHAnsi" w:cstheme="minorHAnsi"/>
          <w:b/>
          <w:noProof/>
          <w:color w:val="FF0000"/>
          <w:sz w:val="22"/>
          <w:szCs w:val="22"/>
          <w:lang w:eastAsia="en-US"/>
        </w:rPr>
        <w:pict>
          <v:shape id="_x0000_s1027" type="#_x0000_t202" style="position:absolute;margin-left:63.9pt;margin-top:8.6pt;width:673pt;height:143.25pt;z-index:251660288;mso-width-relative:margin;mso-height-relative:margin" strokecolor="white [3212]">
            <v:textbox>
              <w:txbxContent>
                <w:p w:rsidR="003A27E0" w:rsidRPr="00C46709" w:rsidRDefault="003A27E0" w:rsidP="00C46709">
                  <w:pPr>
                    <w:jc w:val="center"/>
                    <w:rPr>
                      <w:rFonts w:asciiTheme="minorHAnsi" w:eastAsia="Arial" w:hAnsiTheme="minorHAnsi" w:cstheme="minorHAnsi"/>
                      <w:b/>
                      <w:color w:val="FF0000"/>
                      <w:sz w:val="32"/>
                      <w:szCs w:val="32"/>
                      <w:u w:val="single"/>
                    </w:rPr>
                  </w:pPr>
                  <w:r w:rsidRPr="00C46709">
                    <w:rPr>
                      <w:rFonts w:asciiTheme="minorHAnsi" w:eastAsia="Arial" w:hAnsiTheme="minorHAnsi" w:cstheme="minorHAnsi"/>
                      <w:b/>
                      <w:color w:val="FF0000"/>
                      <w:sz w:val="32"/>
                      <w:szCs w:val="32"/>
                      <w:u w:val="single"/>
                    </w:rPr>
                    <w:t>MONOGRAPHIES DE DROGUES VEGETALES ANTI-CANCEREUSES:</w:t>
                  </w:r>
                </w:p>
                <w:p w:rsidR="003A27E0" w:rsidRPr="000A2442" w:rsidRDefault="003A27E0" w:rsidP="00C46709">
                  <w:pPr>
                    <w:jc w:val="center"/>
                    <w:rPr>
                      <w:rFonts w:asciiTheme="minorHAnsi" w:eastAsia="Arial" w:hAnsiTheme="minorHAnsi" w:cstheme="minorHAnsi"/>
                      <w:b/>
                      <w:color w:val="4F6228" w:themeColor="accent3" w:themeShade="80"/>
                      <w:sz w:val="28"/>
                      <w:szCs w:val="28"/>
                      <w:u w:val="single"/>
                    </w:rPr>
                  </w:pPr>
                </w:p>
                <w:p w:rsidR="003A27E0" w:rsidRPr="00D80F35" w:rsidRDefault="003A27E0" w:rsidP="000A2442">
                  <w:pPr>
                    <w:spacing w:line="276" w:lineRule="auto"/>
                    <w:ind w:hanging="1350"/>
                    <w:jc w:val="center"/>
                    <w:rPr>
                      <w:rFonts w:asciiTheme="minorHAnsi" w:eastAsia="Arial" w:hAnsiTheme="minorHAnsi" w:cstheme="minorHAnsi"/>
                      <w:b/>
                      <w:bCs/>
                      <w:iCs/>
                      <w:color w:val="5F497A" w:themeColor="accent4" w:themeShade="BF"/>
                      <w:sz w:val="26"/>
                      <w:szCs w:val="26"/>
                    </w:rPr>
                  </w:pPr>
                  <w:r w:rsidRPr="00D80F35">
                    <w:rPr>
                      <w:rFonts w:asciiTheme="minorHAnsi" w:eastAsia="Arial" w:hAnsiTheme="minorHAnsi" w:cstheme="minorHAnsi"/>
                      <w:b/>
                      <w:bCs/>
                      <w:iCs/>
                      <w:color w:val="4F6228" w:themeColor="accent3" w:themeShade="80"/>
                      <w:sz w:val="24"/>
                      <w:szCs w:val="24"/>
                    </w:rPr>
                    <w:t xml:space="preserve">                   </w:t>
                  </w:r>
                  <w:r w:rsidRPr="00D80F35">
                    <w:rPr>
                      <w:rFonts w:asciiTheme="minorHAnsi" w:eastAsia="Arial" w:hAnsiTheme="minorHAnsi" w:cstheme="minorHAnsi"/>
                      <w:b/>
                      <w:bCs/>
                      <w:iCs/>
                      <w:color w:val="4F6228" w:themeColor="accent3" w:themeShade="80"/>
                      <w:sz w:val="28"/>
                      <w:szCs w:val="28"/>
                    </w:rPr>
                    <w:t xml:space="preserve"> </w:t>
                  </w:r>
                  <w:r w:rsidRPr="00D80F35">
                    <w:rPr>
                      <w:rFonts w:asciiTheme="minorHAnsi" w:eastAsia="Arial" w:hAnsiTheme="minorHAnsi" w:cstheme="minorHAnsi"/>
                      <w:b/>
                      <w:bCs/>
                      <w:iCs/>
                      <w:color w:val="5F497A" w:themeColor="accent4" w:themeShade="BF"/>
                      <w:sz w:val="26"/>
                      <w:szCs w:val="26"/>
                    </w:rPr>
                    <w:t>1/ CAMPTOTHECA ACUMINATA Decene</w:t>
                  </w:r>
                </w:p>
                <w:p w:rsidR="003A27E0" w:rsidRPr="00D80F35" w:rsidRDefault="003A27E0" w:rsidP="000A2442">
                  <w:pPr>
                    <w:spacing w:line="276" w:lineRule="auto"/>
                    <w:jc w:val="center"/>
                    <w:rPr>
                      <w:rFonts w:asciiTheme="minorHAnsi" w:eastAsia="Arial" w:hAnsiTheme="minorHAnsi" w:cstheme="minorHAnsi"/>
                      <w:b/>
                      <w:bCs/>
                      <w:iCs/>
                      <w:color w:val="5F497A" w:themeColor="accent4" w:themeShade="BF"/>
                      <w:sz w:val="26"/>
                      <w:szCs w:val="26"/>
                    </w:rPr>
                  </w:pPr>
                  <w:r w:rsidRPr="00D80F35">
                    <w:rPr>
                      <w:rFonts w:asciiTheme="minorHAnsi" w:eastAsia="Arial" w:hAnsiTheme="minorHAnsi" w:cstheme="minorHAnsi"/>
                      <w:b/>
                      <w:bCs/>
                      <w:iCs/>
                      <w:color w:val="5F497A" w:themeColor="accent4" w:themeShade="BF"/>
                      <w:sz w:val="26"/>
                      <w:szCs w:val="26"/>
                    </w:rPr>
                    <w:t>2/ TAXUS Sp :Ifs</w:t>
                  </w:r>
                </w:p>
                <w:p w:rsidR="003A27E0" w:rsidRPr="00D80F35" w:rsidRDefault="003A27E0" w:rsidP="000A2442">
                  <w:pPr>
                    <w:spacing w:line="276" w:lineRule="auto"/>
                    <w:ind w:hanging="1351"/>
                    <w:jc w:val="center"/>
                    <w:rPr>
                      <w:rFonts w:asciiTheme="minorHAnsi" w:eastAsia="Arial" w:hAnsiTheme="minorHAnsi" w:cstheme="minorHAnsi"/>
                      <w:b/>
                      <w:bCs/>
                      <w:iCs/>
                      <w:color w:val="5F497A" w:themeColor="accent4" w:themeShade="BF"/>
                      <w:sz w:val="26"/>
                      <w:szCs w:val="26"/>
                    </w:rPr>
                  </w:pPr>
                  <w:r w:rsidRPr="00D80F35">
                    <w:rPr>
                      <w:rFonts w:asciiTheme="minorHAnsi" w:eastAsia="Arial" w:hAnsiTheme="minorHAnsi" w:cstheme="minorHAnsi"/>
                      <w:b/>
                      <w:bCs/>
                      <w:iCs/>
                      <w:color w:val="5F497A" w:themeColor="accent4" w:themeShade="BF"/>
                      <w:sz w:val="26"/>
                      <w:szCs w:val="26"/>
                    </w:rPr>
                    <w:t xml:space="preserve">                          3/ CATHARANTHUS ROSEUS (L.) G. Don: Pervenche de Madagascar</w:t>
                  </w:r>
                </w:p>
                <w:p w:rsidR="003A27E0" w:rsidRPr="00D80F35" w:rsidRDefault="003A27E0" w:rsidP="000A2442">
                  <w:pPr>
                    <w:spacing w:line="276" w:lineRule="auto"/>
                    <w:jc w:val="center"/>
                    <w:rPr>
                      <w:rFonts w:asciiTheme="minorHAnsi" w:eastAsia="Arial" w:hAnsiTheme="minorHAnsi" w:cstheme="minorHAnsi"/>
                      <w:b/>
                      <w:bCs/>
                      <w:iCs/>
                      <w:color w:val="5F497A" w:themeColor="accent4" w:themeShade="BF"/>
                      <w:sz w:val="26"/>
                      <w:szCs w:val="26"/>
                    </w:rPr>
                  </w:pPr>
                  <w:r w:rsidRPr="00D80F35">
                    <w:rPr>
                      <w:rFonts w:asciiTheme="minorHAnsi" w:eastAsia="Arial" w:hAnsiTheme="minorHAnsi" w:cstheme="minorHAnsi"/>
                      <w:b/>
                      <w:bCs/>
                      <w:iCs/>
                      <w:color w:val="5F497A" w:themeColor="accent4" w:themeShade="BF"/>
                      <w:sz w:val="26"/>
                      <w:szCs w:val="26"/>
                    </w:rPr>
                    <w:t>4/ PODOPHYLLUM PELTATUM: Podophylle</w:t>
                  </w:r>
                </w:p>
                <w:p w:rsidR="003A27E0" w:rsidRPr="00D80F35" w:rsidRDefault="003A27E0" w:rsidP="000A2442">
                  <w:pPr>
                    <w:spacing w:line="360" w:lineRule="auto"/>
                    <w:rPr>
                      <w:sz w:val="26"/>
                      <w:szCs w:val="26"/>
                    </w:rPr>
                  </w:pPr>
                </w:p>
              </w:txbxContent>
            </v:textbox>
          </v:shape>
        </w:pict>
      </w: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0A2442" w:rsidRDefault="000A2442" w:rsidP="00CB59E7">
      <w:pPr>
        <w:rPr>
          <w:rFonts w:asciiTheme="minorHAnsi" w:eastAsia="Arial" w:hAnsiTheme="minorHAnsi" w:cstheme="minorHAnsi"/>
          <w:b/>
          <w:color w:val="FF0000"/>
          <w:sz w:val="22"/>
          <w:szCs w:val="22"/>
        </w:rPr>
      </w:pPr>
    </w:p>
    <w:p w:rsidR="00CB59E7" w:rsidRDefault="00CB59E7" w:rsidP="00CB59E7">
      <w:pPr>
        <w:rPr>
          <w:rFonts w:asciiTheme="minorHAnsi" w:eastAsia="Arial" w:hAnsiTheme="minorHAnsi" w:cstheme="minorHAnsi"/>
          <w:b/>
          <w:color w:val="FF0000"/>
          <w:sz w:val="22"/>
          <w:szCs w:val="22"/>
        </w:rPr>
      </w:pPr>
    </w:p>
    <w:p w:rsidR="00CB59E7" w:rsidRDefault="00CB59E7"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3E5CEE" w:rsidRDefault="003E5CEE"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22"/>
          <w:szCs w:val="22"/>
        </w:rPr>
      </w:pPr>
    </w:p>
    <w:p w:rsidR="00C46709" w:rsidRDefault="00C46709" w:rsidP="00CB59E7">
      <w:pPr>
        <w:rPr>
          <w:rFonts w:asciiTheme="minorHAnsi" w:eastAsia="Arial" w:hAnsiTheme="minorHAnsi" w:cstheme="minorHAnsi"/>
          <w:b/>
          <w:color w:val="FF0000"/>
          <w:sz w:val="16"/>
          <w:szCs w:val="16"/>
        </w:rPr>
      </w:pPr>
    </w:p>
    <w:p w:rsidR="000A2442" w:rsidRPr="000A2442" w:rsidRDefault="000A2442" w:rsidP="00CB59E7">
      <w:pPr>
        <w:rPr>
          <w:rFonts w:asciiTheme="minorHAnsi" w:eastAsia="Arial" w:hAnsiTheme="minorHAnsi" w:cstheme="minorHAnsi"/>
          <w:b/>
          <w:color w:val="FF0000"/>
          <w:sz w:val="14"/>
          <w:szCs w:val="14"/>
        </w:rPr>
      </w:pPr>
    </w:p>
    <w:p w:rsidR="00CB59E7" w:rsidRPr="003E5CEE" w:rsidRDefault="00CB59E7" w:rsidP="003E5CEE">
      <w:pPr>
        <w:rPr>
          <w:rFonts w:asciiTheme="minorHAnsi" w:eastAsia="Arial" w:hAnsiTheme="minorHAnsi" w:cstheme="minorHAnsi"/>
          <w:b/>
          <w:color w:val="006600"/>
          <w:sz w:val="26"/>
          <w:szCs w:val="26"/>
        </w:rPr>
      </w:pPr>
      <w:r w:rsidRPr="003E5CEE">
        <w:rPr>
          <w:rFonts w:asciiTheme="minorHAnsi" w:eastAsia="Arial" w:hAnsiTheme="minorHAnsi" w:cstheme="minorHAnsi"/>
          <w:b/>
          <w:color w:val="006600"/>
          <w:sz w:val="26"/>
          <w:szCs w:val="26"/>
        </w:rPr>
        <w:t>AGENTS CYTOTOXIQUES</w:t>
      </w:r>
    </w:p>
    <w:p w:rsidR="00CB59E7" w:rsidRPr="003E5CEE" w:rsidRDefault="00CB59E7" w:rsidP="003E5CEE">
      <w:pPr>
        <w:rPr>
          <w:rFonts w:asciiTheme="minorHAnsi" w:eastAsia="Arial" w:hAnsiTheme="minorHAnsi" w:cstheme="minorHAnsi"/>
          <w:b/>
          <w:sz w:val="22"/>
          <w:szCs w:val="22"/>
        </w:rPr>
      </w:pPr>
      <w:r w:rsidRPr="008875E1">
        <w:rPr>
          <w:rFonts w:asciiTheme="minorHAnsi" w:eastAsia="Arial" w:hAnsiTheme="minorHAnsi" w:cstheme="minorHAnsi"/>
          <w:b/>
          <w:sz w:val="22"/>
          <w:szCs w:val="22"/>
        </w:rPr>
        <w:t>1. ACTION DIRECTE SUR L'ADN</w:t>
      </w:r>
    </w:p>
    <w:p w:rsidR="003E5CEE" w:rsidRDefault="00CB59E7" w:rsidP="00C46709">
      <w:pPr>
        <w:rPr>
          <w:rFonts w:asciiTheme="minorHAnsi" w:eastAsia="Arial" w:hAnsiTheme="minorHAnsi" w:cstheme="minorHAnsi"/>
          <w:b/>
          <w:sz w:val="22"/>
          <w:szCs w:val="22"/>
        </w:rPr>
      </w:pPr>
      <w:r w:rsidRPr="008875E1">
        <w:rPr>
          <w:rFonts w:asciiTheme="minorHAnsi" w:eastAsia="Arial" w:hAnsiTheme="minorHAnsi" w:cstheme="minorHAnsi"/>
          <w:b/>
          <w:sz w:val="22"/>
          <w:szCs w:val="22"/>
        </w:rPr>
        <w:t>1.1. LES AGENTS ALKYLANTS</w:t>
      </w:r>
    </w:p>
    <w:p w:rsidR="00CB59E7" w:rsidRPr="008875E1" w:rsidRDefault="00CB59E7" w:rsidP="00CB59E7">
      <w:pPr>
        <w:rPr>
          <w:rFonts w:asciiTheme="minorHAnsi" w:eastAsia="Arial" w:hAnsiTheme="minorHAnsi" w:cstheme="minorHAnsi"/>
          <w:b/>
          <w:sz w:val="22"/>
          <w:szCs w:val="22"/>
        </w:rPr>
      </w:pPr>
      <w:r w:rsidRPr="008875E1">
        <w:rPr>
          <w:rFonts w:asciiTheme="minorHAnsi" w:eastAsia="Arial" w:hAnsiTheme="minorHAnsi" w:cstheme="minorHAnsi"/>
          <w:b/>
          <w:sz w:val="22"/>
          <w:szCs w:val="22"/>
        </w:rPr>
        <w:t>1.2 LES AGENTS INTERCALANTS</w:t>
      </w:r>
    </w:p>
    <w:p w:rsidR="00CB59E7" w:rsidRPr="003E5CEE" w:rsidRDefault="00CB59E7" w:rsidP="003E5CEE">
      <w:pPr>
        <w:rPr>
          <w:rFonts w:asciiTheme="minorHAnsi" w:eastAsia="Arial" w:hAnsiTheme="minorHAnsi" w:cstheme="minorHAnsi"/>
          <w:b/>
          <w:sz w:val="22"/>
          <w:szCs w:val="22"/>
        </w:rPr>
      </w:pPr>
      <w:r w:rsidRPr="008875E1">
        <w:rPr>
          <w:rFonts w:asciiTheme="minorHAnsi" w:eastAsia="Arial" w:hAnsiTheme="minorHAnsi" w:cstheme="minorHAnsi"/>
          <w:b/>
          <w:sz w:val="22"/>
          <w:szCs w:val="22"/>
        </w:rPr>
        <w:t>1.3 INHIBITEURS DE L’ADN TOPO-ISOMERASE</w:t>
      </w:r>
    </w:p>
    <w:p w:rsidR="00CB59E7" w:rsidRPr="008875E1" w:rsidRDefault="00CB59E7" w:rsidP="00CB59E7">
      <w:pPr>
        <w:rPr>
          <w:rFonts w:asciiTheme="minorHAnsi" w:eastAsia="Arial" w:hAnsiTheme="minorHAnsi" w:cstheme="minorHAnsi"/>
          <w:sz w:val="22"/>
          <w:szCs w:val="22"/>
        </w:rPr>
      </w:pPr>
      <w:r w:rsidRPr="008875E1">
        <w:rPr>
          <w:rFonts w:asciiTheme="minorHAnsi" w:eastAsia="Arial" w:hAnsiTheme="minorHAnsi" w:cstheme="minorHAnsi"/>
          <w:sz w:val="22"/>
          <w:szCs w:val="22"/>
        </w:rPr>
        <w:t>EX : la camptothécine et dérivés.</w:t>
      </w:r>
    </w:p>
    <w:p w:rsidR="00CB59E7" w:rsidRPr="003E5CEE" w:rsidRDefault="00CB59E7" w:rsidP="003E5CEE">
      <w:pPr>
        <w:rPr>
          <w:rFonts w:asciiTheme="minorHAnsi" w:eastAsia="Arial" w:hAnsiTheme="minorHAnsi" w:cstheme="minorHAnsi"/>
          <w:sz w:val="22"/>
          <w:szCs w:val="22"/>
        </w:rPr>
      </w:pPr>
      <w:r w:rsidRPr="008875E1">
        <w:rPr>
          <w:rFonts w:asciiTheme="minorHAnsi" w:eastAsia="Arial" w:hAnsiTheme="minorHAnsi" w:cstheme="minorHAnsi"/>
          <w:sz w:val="22"/>
          <w:szCs w:val="22"/>
        </w:rPr>
        <w:t>Etoposide et le téniposide</w:t>
      </w:r>
    </w:p>
    <w:p w:rsidR="00CB59E7" w:rsidRPr="003E5CEE" w:rsidRDefault="00CB59E7" w:rsidP="003E5CEE">
      <w:pPr>
        <w:rPr>
          <w:rFonts w:asciiTheme="minorHAnsi" w:eastAsia="Arial" w:hAnsiTheme="minorHAnsi" w:cstheme="minorHAnsi"/>
          <w:b/>
          <w:sz w:val="22"/>
          <w:szCs w:val="22"/>
        </w:rPr>
      </w:pPr>
      <w:r w:rsidRPr="008875E1">
        <w:rPr>
          <w:rFonts w:asciiTheme="minorHAnsi" w:eastAsia="Arial" w:hAnsiTheme="minorHAnsi" w:cstheme="minorHAnsi"/>
          <w:b/>
          <w:sz w:val="22"/>
          <w:szCs w:val="22"/>
        </w:rPr>
        <w:t>1.4. LES SCINDANTS</w:t>
      </w:r>
    </w:p>
    <w:p w:rsidR="00CB59E7" w:rsidRPr="003E5CEE" w:rsidRDefault="00CB59E7" w:rsidP="003E5CEE">
      <w:pPr>
        <w:rPr>
          <w:rFonts w:asciiTheme="minorHAnsi" w:eastAsia="Arial" w:hAnsiTheme="minorHAnsi" w:cstheme="minorHAnsi"/>
          <w:b/>
          <w:sz w:val="22"/>
          <w:szCs w:val="22"/>
        </w:rPr>
      </w:pPr>
      <w:r w:rsidRPr="008875E1">
        <w:rPr>
          <w:rFonts w:asciiTheme="minorHAnsi" w:eastAsia="Arial" w:hAnsiTheme="minorHAnsi" w:cstheme="minorHAnsi"/>
          <w:b/>
          <w:sz w:val="22"/>
          <w:szCs w:val="22"/>
        </w:rPr>
        <w:t>2.ACTION INDIRECTE SUR L'ADN: les anti-métabolites :</w:t>
      </w:r>
    </w:p>
    <w:p w:rsidR="00CB59E7" w:rsidRPr="003E5CEE" w:rsidRDefault="00CB59E7" w:rsidP="003E5CEE">
      <w:pPr>
        <w:rPr>
          <w:rFonts w:asciiTheme="minorHAnsi" w:eastAsia="Arial" w:hAnsiTheme="minorHAnsi" w:cstheme="minorHAnsi"/>
          <w:sz w:val="22"/>
          <w:szCs w:val="22"/>
        </w:rPr>
      </w:pPr>
      <w:r w:rsidRPr="008875E1">
        <w:rPr>
          <w:rFonts w:asciiTheme="minorHAnsi" w:eastAsia="Arial" w:hAnsiTheme="minorHAnsi" w:cstheme="minorHAnsi"/>
          <w:sz w:val="22"/>
          <w:szCs w:val="22"/>
        </w:rPr>
        <w:t>-les antagonistes foliques</w:t>
      </w:r>
    </w:p>
    <w:p w:rsidR="00CB59E7" w:rsidRPr="00C46709" w:rsidRDefault="00CB59E7" w:rsidP="00C46709">
      <w:pPr>
        <w:rPr>
          <w:rFonts w:asciiTheme="minorHAnsi" w:eastAsia="Arial" w:hAnsiTheme="minorHAnsi" w:cstheme="minorHAnsi"/>
          <w:sz w:val="22"/>
          <w:szCs w:val="22"/>
        </w:rPr>
      </w:pPr>
      <w:r w:rsidRPr="008875E1">
        <w:rPr>
          <w:rFonts w:asciiTheme="minorHAnsi" w:eastAsia="Arial" w:hAnsiTheme="minorHAnsi" w:cstheme="minorHAnsi"/>
          <w:sz w:val="22"/>
          <w:szCs w:val="22"/>
        </w:rPr>
        <w:t>-les analogues des bases puriques</w:t>
      </w:r>
    </w:p>
    <w:p w:rsidR="00CB59E7" w:rsidRPr="00C46709" w:rsidRDefault="00CB59E7" w:rsidP="00C46709">
      <w:pPr>
        <w:rPr>
          <w:rFonts w:asciiTheme="minorHAnsi" w:eastAsia="Arial" w:hAnsiTheme="minorHAnsi" w:cstheme="minorHAnsi"/>
          <w:sz w:val="22"/>
          <w:szCs w:val="22"/>
        </w:rPr>
      </w:pPr>
      <w:r w:rsidRPr="008875E1">
        <w:rPr>
          <w:rFonts w:asciiTheme="minorHAnsi" w:eastAsia="Arial" w:hAnsiTheme="minorHAnsi" w:cstheme="minorHAnsi"/>
          <w:sz w:val="22"/>
          <w:szCs w:val="22"/>
        </w:rPr>
        <w:t>-les analogues de bases pyrimidiques .EX :fluoro-uracile(5-FU).</w:t>
      </w:r>
    </w:p>
    <w:p w:rsidR="00CB59E7" w:rsidRPr="008875E1" w:rsidRDefault="00CB59E7" w:rsidP="00CB59E7">
      <w:pPr>
        <w:rPr>
          <w:rFonts w:asciiTheme="minorHAnsi" w:eastAsia="Arial" w:hAnsiTheme="minorHAnsi" w:cstheme="minorHAnsi"/>
          <w:b/>
          <w:sz w:val="22"/>
          <w:szCs w:val="22"/>
        </w:rPr>
      </w:pPr>
      <w:r w:rsidRPr="008875E1">
        <w:rPr>
          <w:rFonts w:asciiTheme="minorHAnsi" w:eastAsia="Arial" w:hAnsiTheme="minorHAnsi" w:cstheme="minorHAnsi"/>
          <w:b/>
          <w:sz w:val="22"/>
          <w:szCs w:val="22"/>
        </w:rPr>
        <w:t>3. POISON DE FUSEAU</w:t>
      </w:r>
    </w:p>
    <w:p w:rsidR="00CB59E7" w:rsidRPr="008875E1" w:rsidRDefault="00CB59E7" w:rsidP="00CB59E7">
      <w:pPr>
        <w:rPr>
          <w:rFonts w:asciiTheme="minorHAnsi" w:eastAsia="Times New Roman" w:hAnsiTheme="minorHAnsi" w:cstheme="minorHAnsi"/>
          <w:sz w:val="22"/>
          <w:szCs w:val="22"/>
        </w:rPr>
      </w:pPr>
      <w:r w:rsidRPr="008875E1">
        <w:rPr>
          <w:rFonts w:asciiTheme="minorHAnsi" w:eastAsia="Times New Roman" w:hAnsiTheme="minorHAnsi" w:cstheme="minorHAnsi"/>
          <w:sz w:val="22"/>
          <w:szCs w:val="22"/>
        </w:rPr>
        <w:t>-Les vinca alcaloides: vincacristine, vinblastine</w:t>
      </w:r>
    </w:p>
    <w:p w:rsidR="00CB59E7" w:rsidRPr="008875E1" w:rsidRDefault="00CB59E7" w:rsidP="00CB59E7">
      <w:pPr>
        <w:rPr>
          <w:rFonts w:asciiTheme="minorHAnsi" w:eastAsia="Times New Roman" w:hAnsiTheme="minorHAnsi" w:cstheme="minorHAnsi"/>
          <w:sz w:val="22"/>
          <w:szCs w:val="22"/>
        </w:rPr>
      </w:pPr>
      <w:r w:rsidRPr="008875E1">
        <w:rPr>
          <w:rFonts w:asciiTheme="minorHAnsi" w:eastAsia="Times New Roman" w:hAnsiTheme="minorHAnsi" w:cstheme="minorHAnsi"/>
          <w:sz w:val="22"/>
          <w:szCs w:val="22"/>
        </w:rPr>
        <w:t>-Les taxones (taxol et dérivés hémi-synthétiques: paclitaxel; docétaxel)</w:t>
      </w:r>
    </w:p>
    <w:p w:rsidR="00CB59E7" w:rsidRPr="008875E1" w:rsidRDefault="00CB59E7" w:rsidP="00CB59E7">
      <w:pPr>
        <w:rPr>
          <w:rFonts w:asciiTheme="minorHAnsi" w:eastAsia="Arial" w:hAnsiTheme="minorHAnsi" w:cstheme="minorHAnsi"/>
          <w:sz w:val="22"/>
          <w:szCs w:val="22"/>
        </w:rPr>
      </w:pPr>
    </w:p>
    <w:p w:rsidR="00CB59E7" w:rsidRPr="008875E1" w:rsidRDefault="00CB59E7" w:rsidP="00CB59E7">
      <w:pPr>
        <w:jc w:val="center"/>
        <w:rPr>
          <w:rFonts w:asciiTheme="minorHAnsi" w:eastAsia="Times New Roman" w:hAnsiTheme="minorHAnsi" w:cstheme="minorHAnsi"/>
          <w:sz w:val="22"/>
          <w:szCs w:val="22"/>
        </w:rPr>
      </w:pPr>
    </w:p>
    <w:p w:rsidR="00CB59E7" w:rsidRPr="008875E1" w:rsidRDefault="00CB59E7" w:rsidP="00CB59E7">
      <w:pPr>
        <w:ind w:hanging="1351"/>
        <w:jc w:val="center"/>
        <w:rPr>
          <w:rFonts w:asciiTheme="minorHAnsi" w:eastAsia="Arial" w:hAnsiTheme="minorHAnsi" w:cstheme="minorHAnsi"/>
          <w:i/>
          <w:sz w:val="22"/>
          <w:szCs w:val="22"/>
        </w:rPr>
      </w:pPr>
    </w:p>
    <w:p w:rsidR="00CB59E7" w:rsidRDefault="00CB59E7">
      <w:pPr>
        <w:sectPr w:rsidR="00CB59E7" w:rsidSect="003E5CEE">
          <w:pgSz w:w="16838" w:h="11906" w:orient="landscape"/>
          <w:pgMar w:top="397" w:right="397" w:bottom="397" w:left="397" w:header="709" w:footer="709" w:gutter="0"/>
          <w:cols w:num="2" w:space="708"/>
          <w:docGrid w:linePitch="360"/>
        </w:sectPr>
      </w:pPr>
    </w:p>
    <w:p w:rsidR="00F440B0" w:rsidRDefault="00AC7990">
      <w:r>
        <w:rPr>
          <w:noProof/>
        </w:rPr>
        <w:lastRenderedPageBreak/>
        <w:pict>
          <v:shape id="_x0000_s1028" type="#_x0000_t202" style="position:absolute;margin-left:174.9pt;margin-top:-18.6pt;width:455.25pt;height:54.75pt;z-index:251661312" strokeweight="1.5pt">
            <v:textbox>
              <w:txbxContent>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CAMPTOTHECA ACUMINATA</w:t>
                  </w:r>
                  <w:r w:rsidRPr="00832FDC">
                    <w:rPr>
                      <w:rFonts w:asciiTheme="majorBidi" w:hAnsiTheme="majorBidi" w:cstheme="majorBidi"/>
                      <w:b/>
                      <w:bCs/>
                      <w:sz w:val="40"/>
                      <w:szCs w:val="40"/>
                    </w:rPr>
                    <w:t xml:space="preserve"> </w:t>
                  </w:r>
                  <w:r w:rsidR="00832FDC">
                    <w:rPr>
                      <w:rFonts w:asciiTheme="majorBidi" w:hAnsiTheme="majorBidi" w:cstheme="majorBidi"/>
                      <w:b/>
                      <w:bCs/>
                      <w:sz w:val="40"/>
                      <w:szCs w:val="40"/>
                    </w:rPr>
                    <w:t xml:space="preserve">  </w:t>
                  </w:r>
                  <w:r w:rsidRPr="00832FDC">
                    <w:rPr>
                      <w:rFonts w:asciiTheme="majorBidi" w:hAnsiTheme="majorBidi" w:cstheme="majorBidi"/>
                      <w:b/>
                      <w:bCs/>
                      <w:color w:val="5F497A" w:themeColor="accent4" w:themeShade="BF"/>
                      <w:sz w:val="40"/>
                      <w:szCs w:val="40"/>
                    </w:rPr>
                    <w:t>Decene</w:t>
                  </w:r>
                </w:p>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(NYSSSACEA)</w:t>
                  </w:r>
                </w:p>
              </w:txbxContent>
            </v:textbox>
          </v:shape>
        </w:pict>
      </w:r>
    </w:p>
    <w:p w:rsidR="00F440B0" w:rsidRDefault="00F440B0"/>
    <w:p w:rsidR="00F440B0" w:rsidRDefault="00F440B0"/>
    <w:p w:rsidR="00F440B0" w:rsidRDefault="00F440B0"/>
    <w:p w:rsidR="00F440B0" w:rsidRPr="00CC4536" w:rsidRDefault="00F440B0"/>
    <w:p w:rsidR="00CB59E7" w:rsidRPr="00F440B0" w:rsidRDefault="00CB59E7" w:rsidP="00CB59E7">
      <w:pPr>
        <w:rPr>
          <w:rFonts w:asciiTheme="minorHAnsi" w:eastAsia="Arial" w:hAnsiTheme="minorHAnsi" w:cstheme="minorHAnsi"/>
          <w:b/>
          <w:bCs/>
          <w:i/>
          <w:sz w:val="22"/>
          <w:szCs w:val="22"/>
        </w:rPr>
      </w:pPr>
      <w:r w:rsidRPr="00F440B0">
        <w:rPr>
          <w:rFonts w:asciiTheme="minorHAnsi" w:eastAsia="Arial" w:hAnsiTheme="minorHAnsi" w:cstheme="minorHAnsi"/>
          <w:b/>
          <w:bCs/>
          <w:iCs/>
          <w:color w:val="984806" w:themeColor="accent6" w:themeShade="80"/>
          <w:sz w:val="22"/>
          <w:szCs w:val="22"/>
        </w:rPr>
        <w:t>Drogue:</w:t>
      </w:r>
      <w:r w:rsidR="00F440B0" w:rsidRPr="00F440B0">
        <w:rPr>
          <w:rFonts w:asciiTheme="minorHAnsi" w:eastAsia="Arial" w:hAnsiTheme="minorHAnsi" w:cstheme="minorHAnsi"/>
          <w:b/>
          <w:bCs/>
          <w:iCs/>
          <w:color w:val="984806" w:themeColor="accent6" w:themeShade="80"/>
          <w:sz w:val="22"/>
          <w:szCs w:val="22"/>
        </w:rPr>
        <w:t xml:space="preserve"> </w:t>
      </w:r>
      <w:r w:rsidRPr="00F440B0">
        <w:rPr>
          <w:rFonts w:asciiTheme="minorHAnsi" w:eastAsia="Arial" w:hAnsiTheme="minorHAnsi" w:cstheme="minorHAnsi"/>
          <w:b/>
          <w:bCs/>
          <w:i/>
          <w:sz w:val="22"/>
          <w:szCs w:val="22"/>
        </w:rPr>
        <w:t>tronc,</w:t>
      </w:r>
      <w:r w:rsidR="00F440B0">
        <w:rPr>
          <w:rFonts w:asciiTheme="minorHAnsi" w:eastAsia="Arial" w:hAnsiTheme="minorHAnsi" w:cstheme="minorHAnsi"/>
          <w:b/>
          <w:bCs/>
          <w:i/>
          <w:sz w:val="22"/>
          <w:szCs w:val="22"/>
        </w:rPr>
        <w:t xml:space="preserve"> </w:t>
      </w:r>
      <w:r w:rsidRPr="00F440B0">
        <w:rPr>
          <w:rFonts w:asciiTheme="minorHAnsi" w:eastAsia="Arial" w:hAnsiTheme="minorHAnsi" w:cstheme="minorHAnsi"/>
          <w:b/>
          <w:bCs/>
          <w:i/>
          <w:sz w:val="22"/>
          <w:szCs w:val="22"/>
        </w:rPr>
        <w:t>écorces de racine et fruits</w:t>
      </w:r>
    </w:p>
    <w:p w:rsidR="00CB59E7" w:rsidRPr="00CC4536" w:rsidRDefault="00CB59E7" w:rsidP="00CB59E7">
      <w:pPr>
        <w:rPr>
          <w:rFonts w:asciiTheme="minorHAnsi" w:eastAsia="Times New Roman" w:hAnsiTheme="minorHAnsi" w:cstheme="minorHAnsi"/>
        </w:rPr>
      </w:pPr>
    </w:p>
    <w:p w:rsidR="00CB59E7" w:rsidRPr="00E92C53" w:rsidRDefault="00CB59E7" w:rsidP="00E92C53">
      <w:pPr>
        <w:pStyle w:val="Titre1"/>
        <w:rPr>
          <w:szCs w:val="22"/>
        </w:rPr>
      </w:pPr>
      <w:r w:rsidRPr="00E92C53">
        <w:rPr>
          <w:szCs w:val="22"/>
        </w:rPr>
        <w:t>1. CARACTERES BOTANIQUES DE LA</w:t>
      </w:r>
      <w:r w:rsidR="00CC4536" w:rsidRPr="00E92C53">
        <w:t xml:space="preserve"> </w:t>
      </w:r>
      <w:r w:rsidRPr="00E92C53">
        <w:rPr>
          <w:szCs w:val="22"/>
        </w:rPr>
        <w:t>PLANTE</w:t>
      </w:r>
    </w:p>
    <w:p w:rsidR="00CB59E7" w:rsidRPr="00CC4536" w:rsidRDefault="00CB59E7" w:rsidP="00CC4536">
      <w:pPr>
        <w:rPr>
          <w:rFonts w:asciiTheme="minorHAnsi" w:eastAsia="Arial" w:hAnsiTheme="minorHAnsi" w:cstheme="minorHAnsi"/>
        </w:rPr>
      </w:pPr>
      <w:r w:rsidRPr="00CC4536">
        <w:rPr>
          <w:rFonts w:asciiTheme="minorHAnsi" w:eastAsia="Arial" w:hAnsiTheme="minorHAnsi" w:cstheme="minorHAnsi"/>
        </w:rPr>
        <w:t>Le genre CAMPTOTHECA est représente par une seule espèce. CAMPTOTHECA ACUMINATA ,rencontré uniquement en chine et au</w:t>
      </w:r>
      <w:r w:rsidR="00CC4536">
        <w:rPr>
          <w:rFonts w:asciiTheme="minorHAnsi" w:eastAsia="Arial" w:hAnsiTheme="minorHAnsi" w:cstheme="minorHAnsi"/>
        </w:rPr>
        <w:t xml:space="preserve"> </w:t>
      </w:r>
      <w:r w:rsidRPr="00CC4536">
        <w:rPr>
          <w:rFonts w:asciiTheme="minorHAnsi" w:eastAsia="Arial" w:hAnsiTheme="minorHAnsi" w:cstheme="minorHAnsi"/>
        </w:rPr>
        <w:t>Tibet.</w:t>
      </w:r>
      <w:r w:rsidR="00CC4536">
        <w:rPr>
          <w:rFonts w:asciiTheme="minorHAnsi" w:eastAsia="Arial" w:hAnsiTheme="minorHAnsi" w:cstheme="minorHAnsi"/>
        </w:rPr>
        <w:t xml:space="preserve"> </w:t>
      </w:r>
      <w:r w:rsidRPr="00CC4536">
        <w:rPr>
          <w:rFonts w:asciiTheme="minorHAnsi" w:eastAsia="Arial" w:hAnsiTheme="minorHAnsi" w:cstheme="minorHAnsi"/>
        </w:rPr>
        <w:t>c’est un arbre a feuilles alternes simples entières caduques dentées et sans stipules</w:t>
      </w:r>
    </w:p>
    <w:p w:rsidR="004B69C8" w:rsidRDefault="004B69C8" w:rsidP="00CB59E7">
      <w:pPr>
        <w:rPr>
          <w:rFonts w:asciiTheme="minorHAnsi" w:eastAsia="Arial" w:hAnsiTheme="minorHAnsi" w:cstheme="minorHAnsi"/>
          <w:b/>
          <w:color w:val="0070C0"/>
        </w:rPr>
      </w:pPr>
    </w:p>
    <w:p w:rsidR="00CB59E7" w:rsidRPr="00E92C53" w:rsidRDefault="00CB59E7" w:rsidP="00E92C53">
      <w:pPr>
        <w:pStyle w:val="Titre1"/>
        <w:rPr>
          <w:szCs w:val="22"/>
        </w:rPr>
      </w:pPr>
      <w:r w:rsidRPr="00E92C53">
        <w:rPr>
          <w:szCs w:val="22"/>
        </w:rPr>
        <w:t>2. COMPOSITION CHIMIQUE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-la </w:t>
      </w:r>
      <w:r w:rsidRPr="000A2442">
        <w:rPr>
          <w:rFonts w:asciiTheme="minorHAnsi" w:eastAsia="Arial" w:hAnsiTheme="minorHAnsi" w:cstheme="minorHAnsi"/>
          <w:b/>
          <w:bCs/>
        </w:rPr>
        <w:t>camptothécine</w:t>
      </w:r>
      <w:r w:rsidRPr="00CC4536">
        <w:rPr>
          <w:rFonts w:asciiTheme="minorHAnsi" w:eastAsia="Arial" w:hAnsiTheme="minorHAnsi" w:cstheme="minorHAnsi"/>
        </w:rPr>
        <w:t xml:space="preserve"> est retrouvée dans le tronc (0,01 %), les écorces des racine(0,02%) et dans les fruits (0,03%).</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-des composes de structure voisine ont été isolés : </w:t>
      </w:r>
      <w:r w:rsidRPr="000A2442">
        <w:rPr>
          <w:rFonts w:asciiTheme="minorHAnsi" w:eastAsia="Arial" w:hAnsiTheme="minorHAnsi" w:cstheme="minorHAnsi"/>
          <w:b/>
          <w:bCs/>
        </w:rPr>
        <w:t>10-hydroxy camptothécine</w:t>
      </w:r>
      <w:r w:rsidRPr="00CC4536">
        <w:rPr>
          <w:rFonts w:asciiTheme="minorHAnsi" w:eastAsia="Arial" w:hAnsiTheme="minorHAnsi" w:cstheme="minorHAnsi"/>
        </w:rPr>
        <w:t xml:space="preserve">, </w:t>
      </w:r>
      <w:r w:rsidRPr="000A2442">
        <w:rPr>
          <w:rFonts w:asciiTheme="minorHAnsi" w:eastAsia="Arial" w:hAnsiTheme="minorHAnsi" w:cstheme="minorHAnsi"/>
          <w:b/>
          <w:bCs/>
        </w:rPr>
        <w:t>20-desoxy camptothécine</w:t>
      </w:r>
      <w:r w:rsidRPr="00CC4536">
        <w:rPr>
          <w:rFonts w:asciiTheme="minorHAnsi" w:eastAsia="Arial" w:hAnsiTheme="minorHAnsi" w:cstheme="minorHAnsi"/>
        </w:rPr>
        <w:t xml:space="preserve">, </w:t>
      </w:r>
      <w:r w:rsidRPr="000A2442">
        <w:rPr>
          <w:rFonts w:asciiTheme="minorHAnsi" w:eastAsia="Arial" w:hAnsiTheme="minorHAnsi" w:cstheme="minorHAnsi"/>
          <w:b/>
          <w:bCs/>
        </w:rPr>
        <w:t>20 hexanoyl camptothécine</w:t>
      </w:r>
      <w:r w:rsidRPr="00CC4536">
        <w:rPr>
          <w:rFonts w:asciiTheme="minorHAnsi" w:eastAsia="Arial" w:hAnsiTheme="minorHAnsi" w:cstheme="minorHAnsi"/>
        </w:rPr>
        <w:t>.</w:t>
      </w:r>
    </w:p>
    <w:p w:rsidR="004B69C8" w:rsidRDefault="004B69C8" w:rsidP="00CB59E7">
      <w:pPr>
        <w:rPr>
          <w:rFonts w:asciiTheme="minorHAnsi" w:eastAsia="Arial" w:hAnsiTheme="minorHAnsi" w:cstheme="minorHAnsi"/>
          <w:b/>
          <w:color w:val="0070C0"/>
        </w:rPr>
      </w:pPr>
    </w:p>
    <w:p w:rsidR="00CB59E7" w:rsidRPr="00E92C53" w:rsidRDefault="00CB59E7" w:rsidP="00E92C53">
      <w:pPr>
        <w:pStyle w:val="Titre1"/>
        <w:rPr>
          <w:szCs w:val="22"/>
        </w:rPr>
      </w:pPr>
      <w:r w:rsidRPr="00E92C53">
        <w:rPr>
          <w:szCs w:val="22"/>
        </w:rPr>
        <w:t>3. ACTION PHARMACOLOGIQUE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 la </w:t>
      </w:r>
      <w:r w:rsidRPr="000A2442">
        <w:rPr>
          <w:rFonts w:asciiTheme="minorHAnsi" w:eastAsia="Arial" w:hAnsiTheme="minorHAnsi" w:cstheme="minorHAnsi"/>
          <w:b/>
          <w:bCs/>
        </w:rPr>
        <w:t>camptothécine</w:t>
      </w:r>
      <w:r w:rsidRPr="00CC4536">
        <w:rPr>
          <w:rFonts w:asciiTheme="minorHAnsi" w:eastAsia="Arial" w:hAnsiTheme="minorHAnsi" w:cstheme="minorHAnsi"/>
        </w:rPr>
        <w:t xml:space="preserve"> : exerce une activité cytostatique et anti-tumorale reconnue mais sa toxicité est très importante.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-La mise en évidence d’une Activité de cette molécule sur l’ADN topoisomérase I a conduit à l’obtention d’analogues synthétiques à toxic</w:t>
      </w:r>
      <w:r w:rsidR="000A2442">
        <w:rPr>
          <w:rFonts w:asciiTheme="minorHAnsi" w:eastAsia="Arial" w:hAnsiTheme="minorHAnsi" w:cstheme="minorHAnsi"/>
        </w:rPr>
        <w:t xml:space="preserve">ité moindre,dont deux sont déjà </w:t>
      </w:r>
      <w:r w:rsidRPr="00CC4536">
        <w:rPr>
          <w:rFonts w:asciiTheme="minorHAnsi" w:eastAsia="Arial" w:hAnsiTheme="minorHAnsi" w:cstheme="minorHAnsi"/>
        </w:rPr>
        <w:t>commercialisés :</w:t>
      </w:r>
    </w:p>
    <w:p w:rsidR="000A2442" w:rsidRDefault="00CB59E7" w:rsidP="00CB59E7">
      <w:pPr>
        <w:rPr>
          <w:rFonts w:asciiTheme="minorHAnsi" w:eastAsia="Arial" w:hAnsiTheme="minorHAnsi" w:cstheme="minorHAnsi"/>
        </w:rPr>
      </w:pPr>
      <w:r w:rsidRPr="00CC4536">
        <w:rPr>
          <w:rFonts w:asciiTheme="minorHAnsi" w:eastAsia="Arial" w:hAnsiTheme="minorHAnsi" w:cstheme="minorHAnsi"/>
        </w:rPr>
        <w:t>-</w:t>
      </w:r>
      <w:r w:rsidRPr="000A2442">
        <w:rPr>
          <w:rFonts w:asciiTheme="minorHAnsi" w:eastAsia="Arial" w:hAnsiTheme="minorHAnsi" w:cstheme="minorHAnsi"/>
          <w:b/>
          <w:bCs/>
          <w:u w:val="single"/>
        </w:rPr>
        <w:t>topotécan</w:t>
      </w:r>
      <w:r w:rsidRPr="000A2442">
        <w:rPr>
          <w:rFonts w:asciiTheme="minorHAnsi" w:eastAsia="Arial" w:hAnsiTheme="minorHAnsi" w:cstheme="minorHAnsi"/>
          <w:b/>
          <w:bCs/>
        </w:rPr>
        <w:t xml:space="preserve"> </w:t>
      </w:r>
      <w:r w:rsidRPr="00CC4536">
        <w:rPr>
          <w:rFonts w:asciiTheme="minorHAnsi" w:eastAsia="Arial" w:hAnsiTheme="minorHAnsi" w:cstheme="minorHAnsi"/>
        </w:rPr>
        <w:t>:ou 9 diméthylaminométhyl-10-hydroxy-camptothécine .</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 xml:space="preserve"> -</w:t>
      </w:r>
      <w:r w:rsidRPr="000A2442">
        <w:rPr>
          <w:rFonts w:asciiTheme="minorHAnsi" w:eastAsia="Arial" w:hAnsiTheme="minorHAnsi" w:cstheme="minorHAnsi"/>
          <w:b/>
          <w:bCs/>
          <w:u w:val="single"/>
        </w:rPr>
        <w:t>irinitécan</w:t>
      </w:r>
      <w:r w:rsidRPr="00CC4536">
        <w:rPr>
          <w:rFonts w:asciiTheme="minorHAnsi" w:eastAsia="Arial" w:hAnsiTheme="minorHAnsi" w:cstheme="minorHAnsi"/>
        </w:rPr>
        <w:t xml:space="preserve"> :ou 7 éthyl-10-[4(1-pipéridino)-1-carbonyl-oxy]camptothécine.</w:t>
      </w:r>
    </w:p>
    <w:p w:rsidR="004B69C8" w:rsidRDefault="004B69C8" w:rsidP="00CB59E7">
      <w:pPr>
        <w:rPr>
          <w:rFonts w:asciiTheme="minorHAnsi" w:eastAsia="Arial" w:hAnsiTheme="minorHAnsi" w:cstheme="minorHAnsi"/>
          <w:b/>
          <w:color w:val="0070C0"/>
        </w:rPr>
      </w:pPr>
    </w:p>
    <w:p w:rsidR="00CB59E7" w:rsidRPr="00CC4536" w:rsidRDefault="00CB59E7" w:rsidP="00E92C53">
      <w:pPr>
        <w:pStyle w:val="Titre1"/>
        <w:rPr>
          <w:rFonts w:eastAsia="Arial"/>
        </w:rPr>
      </w:pPr>
      <w:r w:rsidRPr="00CC4536">
        <w:rPr>
          <w:rFonts w:eastAsia="Arial"/>
        </w:rPr>
        <w:t>4. EMPLOIS</w:t>
      </w:r>
    </w:p>
    <w:p w:rsidR="00E92C53" w:rsidRPr="006B4626" w:rsidRDefault="00E92C53" w:rsidP="00CB59E7">
      <w:pPr>
        <w:rPr>
          <w:rFonts w:asciiTheme="minorHAnsi" w:eastAsia="Arial" w:hAnsiTheme="minorHAnsi" w:cstheme="minorHAnsi"/>
          <w:b/>
          <w:color w:val="006600"/>
          <w:sz w:val="16"/>
          <w:szCs w:val="16"/>
          <w:u w:val="single"/>
        </w:rPr>
      </w:pPr>
    </w:p>
    <w:p w:rsidR="00CB59E7" w:rsidRPr="00E92C53" w:rsidRDefault="00CB59E7" w:rsidP="00CB59E7">
      <w:pPr>
        <w:rPr>
          <w:rFonts w:asciiTheme="minorHAnsi" w:eastAsia="Arial" w:hAnsiTheme="minorHAnsi" w:cstheme="minorHAnsi"/>
          <w:b/>
          <w:color w:val="006600"/>
          <w:sz w:val="24"/>
          <w:szCs w:val="24"/>
          <w:u w:val="single"/>
        </w:rPr>
      </w:pPr>
      <w:r w:rsidRPr="00E92C53">
        <w:rPr>
          <w:rFonts w:asciiTheme="minorHAnsi" w:eastAsia="Arial" w:hAnsiTheme="minorHAnsi" w:cstheme="minorHAnsi"/>
          <w:b/>
          <w:color w:val="006600"/>
          <w:sz w:val="24"/>
          <w:szCs w:val="24"/>
          <w:u w:val="single"/>
        </w:rPr>
        <w:t>A.</w:t>
      </w:r>
      <w:r w:rsidR="00E92C53" w:rsidRPr="00E92C53">
        <w:rPr>
          <w:rFonts w:asciiTheme="minorHAnsi" w:eastAsia="Arial" w:hAnsiTheme="minorHAnsi" w:cstheme="minorHAnsi"/>
          <w:b/>
          <w:color w:val="006600"/>
          <w:sz w:val="24"/>
          <w:szCs w:val="24"/>
          <w:u w:val="single"/>
        </w:rPr>
        <w:t xml:space="preserve"> </w:t>
      </w:r>
      <w:r w:rsidRPr="00E92C53">
        <w:rPr>
          <w:rFonts w:asciiTheme="minorHAnsi" w:eastAsia="Arial" w:hAnsiTheme="minorHAnsi" w:cstheme="minorHAnsi"/>
          <w:b/>
          <w:color w:val="006600"/>
          <w:sz w:val="24"/>
          <w:szCs w:val="24"/>
          <w:u w:val="single"/>
        </w:rPr>
        <w:t xml:space="preserve"> IRINITECAN</w:t>
      </w:r>
    </w:p>
    <w:p w:rsidR="00E92C53" w:rsidRPr="00CC4536" w:rsidRDefault="00CB59E7" w:rsidP="00E92C53">
      <w:pPr>
        <w:rPr>
          <w:rFonts w:asciiTheme="minorHAnsi" w:eastAsia="Arial" w:hAnsiTheme="minorHAnsi" w:cstheme="minorHAnsi"/>
        </w:rPr>
      </w:pPr>
      <w:r w:rsidRPr="00CC4536">
        <w:rPr>
          <w:rFonts w:asciiTheme="minorHAnsi" w:eastAsia="Arial" w:hAnsiTheme="minorHAnsi" w:cstheme="minorHAnsi"/>
        </w:rPr>
        <w:t>Métabolisé dans l’organisme en un métabolite actif : « SN-38 » :groupement éthyle en 7 et hydroxyle en 10.</w:t>
      </w:r>
    </w:p>
    <w:p w:rsidR="00CB59E7" w:rsidRPr="00E92C53" w:rsidRDefault="00CB59E7" w:rsidP="00CB59E7">
      <w:pPr>
        <w:rPr>
          <w:rFonts w:asciiTheme="minorHAnsi" w:eastAsia="Arial" w:hAnsiTheme="minorHAnsi" w:cstheme="minorHAnsi"/>
          <w:b/>
          <w:bCs/>
          <w:color w:val="0070C0"/>
          <w:sz w:val="22"/>
          <w:szCs w:val="22"/>
        </w:rPr>
      </w:pPr>
      <w:r w:rsidRPr="00E92C53">
        <w:rPr>
          <w:rFonts w:asciiTheme="minorHAnsi" w:eastAsia="Arial" w:hAnsiTheme="minorHAnsi" w:cstheme="minorHAnsi"/>
          <w:b/>
          <w:bCs/>
          <w:color w:val="0070C0"/>
          <w:sz w:val="22"/>
          <w:szCs w:val="22"/>
        </w:rPr>
        <w:t>1. INDICATIONS</w:t>
      </w:r>
    </w:p>
    <w:p w:rsidR="00CB59E7" w:rsidRPr="00CC4536" w:rsidRDefault="00E92C53" w:rsidP="00E92C53">
      <w:pPr>
        <w:tabs>
          <w:tab w:val="left" w:pos="685"/>
        </w:tabs>
        <w:rPr>
          <w:rFonts w:asciiTheme="minorHAnsi" w:eastAsia="Arial" w:hAnsiTheme="minorHAnsi" w:cstheme="minorHAnsi"/>
        </w:rPr>
      </w:pPr>
      <w:r>
        <w:rPr>
          <w:rFonts w:asciiTheme="minorHAnsi" w:eastAsia="Arial" w:hAnsiTheme="minorHAnsi" w:cstheme="minorHAnsi"/>
        </w:rPr>
        <w:t xml:space="preserve">1.1 </w:t>
      </w:r>
      <w:r w:rsidR="00CB59E7" w:rsidRPr="00CC4536">
        <w:rPr>
          <w:rFonts w:asciiTheme="minorHAnsi" w:eastAsia="Arial" w:hAnsiTheme="minorHAnsi" w:cstheme="minorHAnsi"/>
        </w:rPr>
        <w:t>Traitement des cancers colorectaux avances : en association avec le 5-FU et l’Acide folinique chez les patients n’ayant pas reçu de chimiothérapie antérieure pour le stade avancé de leur maladie.</w:t>
      </w:r>
      <w:r>
        <w:rPr>
          <w:rFonts w:asciiTheme="minorHAnsi" w:eastAsia="Arial" w:hAnsiTheme="minorHAnsi" w:cstheme="minorHAnsi"/>
        </w:rPr>
        <w:t xml:space="preserve"> </w:t>
      </w:r>
      <w:r w:rsidR="00CB59E7" w:rsidRPr="00CC4536">
        <w:rPr>
          <w:rFonts w:asciiTheme="minorHAnsi" w:eastAsia="Arial" w:hAnsiTheme="minorHAnsi" w:cstheme="minorHAnsi"/>
        </w:rPr>
        <w:t>(1ère intention)</w:t>
      </w:r>
    </w:p>
    <w:p w:rsidR="00CB59E7" w:rsidRPr="00CC4536" w:rsidRDefault="00E92C53" w:rsidP="00E92C53">
      <w:pPr>
        <w:tabs>
          <w:tab w:val="left" w:pos="680"/>
        </w:tabs>
        <w:jc w:val="both"/>
        <w:rPr>
          <w:rFonts w:asciiTheme="minorHAnsi" w:eastAsia="Arial" w:hAnsiTheme="minorHAnsi" w:cstheme="minorHAnsi"/>
        </w:rPr>
      </w:pPr>
      <w:r>
        <w:rPr>
          <w:rFonts w:asciiTheme="minorHAnsi" w:eastAsia="Arial" w:hAnsiTheme="minorHAnsi" w:cstheme="minorHAnsi"/>
        </w:rPr>
        <w:t xml:space="preserve">1.2 </w:t>
      </w:r>
      <w:r w:rsidR="00CB59E7" w:rsidRPr="00CC4536">
        <w:rPr>
          <w:rFonts w:asciiTheme="minorHAnsi" w:eastAsia="Arial" w:hAnsiTheme="minorHAnsi" w:cstheme="minorHAnsi"/>
        </w:rPr>
        <w:t>En Monothérapie après un traitement ayant comporté du 5-FU</w:t>
      </w:r>
    </w:p>
    <w:p w:rsidR="00CB59E7" w:rsidRPr="00CC4536" w:rsidRDefault="00E92C53" w:rsidP="00E92C53">
      <w:pPr>
        <w:tabs>
          <w:tab w:val="left" w:pos="686"/>
        </w:tabs>
        <w:jc w:val="both"/>
        <w:rPr>
          <w:rFonts w:asciiTheme="minorHAnsi" w:eastAsia="Arial" w:hAnsiTheme="minorHAnsi" w:cstheme="minorHAnsi"/>
        </w:rPr>
      </w:pPr>
      <w:r>
        <w:rPr>
          <w:rFonts w:asciiTheme="minorHAnsi" w:eastAsia="Arial" w:hAnsiTheme="minorHAnsi" w:cstheme="minorHAnsi"/>
        </w:rPr>
        <w:t xml:space="preserve">1.3 </w:t>
      </w:r>
      <w:r w:rsidR="00CB59E7" w:rsidRPr="00CC4536">
        <w:rPr>
          <w:rFonts w:asciiTheme="minorHAnsi" w:eastAsia="Arial" w:hAnsiTheme="minorHAnsi" w:cstheme="minorHAnsi"/>
        </w:rPr>
        <w:t xml:space="preserve">En association avec le </w:t>
      </w:r>
      <w:r w:rsidR="00CB59E7" w:rsidRPr="00E92C53">
        <w:rPr>
          <w:rFonts w:asciiTheme="minorHAnsi" w:eastAsia="Arial" w:hAnsiTheme="minorHAnsi" w:cstheme="minorHAnsi"/>
          <w:u w:val="single"/>
        </w:rPr>
        <w:t>cetuximab</w:t>
      </w:r>
      <w:r w:rsidR="00CB59E7" w:rsidRPr="00E92C53">
        <w:rPr>
          <w:rFonts w:asciiTheme="minorHAnsi" w:eastAsia="Arial" w:hAnsiTheme="minorHAnsi" w:cstheme="minorHAnsi"/>
        </w:rPr>
        <w:t>, l’</w:t>
      </w:r>
      <w:r w:rsidR="00CB59E7" w:rsidRPr="00E92C53">
        <w:rPr>
          <w:rFonts w:asciiTheme="minorHAnsi" w:eastAsia="Arial" w:hAnsiTheme="minorHAnsi" w:cstheme="minorHAnsi"/>
          <w:u w:val="single"/>
        </w:rPr>
        <w:t>irinotecan</w:t>
      </w:r>
      <w:r w:rsidR="00CB59E7" w:rsidRPr="00E92C53">
        <w:rPr>
          <w:rFonts w:asciiTheme="minorHAnsi" w:eastAsia="Arial" w:hAnsiTheme="minorHAnsi" w:cstheme="minorHAnsi"/>
          <w:b/>
          <w:bCs/>
        </w:rPr>
        <w:t xml:space="preserve"> </w:t>
      </w:r>
      <w:r w:rsidR="00CB59E7" w:rsidRPr="00CC4536">
        <w:rPr>
          <w:rFonts w:asciiTheme="minorHAnsi" w:eastAsia="Arial" w:hAnsiTheme="minorHAnsi" w:cstheme="minorHAnsi"/>
        </w:rPr>
        <w:t>est indiqué dans le traitement des cancers colorectaux métastatiques avec gène</w:t>
      </w:r>
      <w:r>
        <w:rPr>
          <w:rFonts w:asciiTheme="minorHAnsi" w:eastAsia="Arial" w:hAnsiTheme="minorHAnsi" w:cstheme="minorHAnsi"/>
        </w:rPr>
        <w:t xml:space="preserve"> </w:t>
      </w:r>
      <w:r w:rsidR="00CB59E7" w:rsidRPr="00CC4536">
        <w:rPr>
          <w:rFonts w:asciiTheme="minorHAnsi" w:eastAsia="Arial" w:hAnsiTheme="minorHAnsi" w:cstheme="minorHAnsi"/>
        </w:rPr>
        <w:t>KRAS(</w:t>
      </w:r>
      <w:r>
        <w:rPr>
          <w:rFonts w:asciiTheme="minorHAnsi" w:eastAsia="Arial" w:hAnsiTheme="minorHAnsi" w:cstheme="minorHAnsi"/>
        </w:rPr>
        <w:t xml:space="preserve"> </w:t>
      </w:r>
      <w:r w:rsidR="00CB59E7" w:rsidRPr="00CC4536">
        <w:rPr>
          <w:rFonts w:asciiTheme="minorHAnsi" w:eastAsia="Arial" w:hAnsiTheme="minorHAnsi" w:cstheme="minorHAnsi"/>
        </w:rPr>
        <w:t>biomarqueur prédictif) de type sauvage exprimant le Récepteur du facteur de croissance épidermique (EGFR) après échec d’une chimiothérapie à base d</w:t>
      </w:r>
      <w:r w:rsidR="00CB59E7" w:rsidRPr="00E92C53">
        <w:rPr>
          <w:rFonts w:asciiTheme="minorHAnsi" w:eastAsia="Arial" w:hAnsiTheme="minorHAnsi" w:cstheme="minorHAnsi"/>
          <w:u w:val="single"/>
        </w:rPr>
        <w:t>’irinotécan</w:t>
      </w:r>
      <w:r w:rsidR="00CB59E7" w:rsidRPr="00CC4536">
        <w:rPr>
          <w:rFonts w:asciiTheme="minorHAnsi" w:eastAsia="Arial" w:hAnsiTheme="minorHAnsi" w:cstheme="minorHAnsi"/>
        </w:rPr>
        <w:t>.</w:t>
      </w:r>
    </w:p>
    <w:p w:rsidR="00F440B0" w:rsidRDefault="00F440B0" w:rsidP="00F440B0">
      <w:pPr>
        <w:rPr>
          <w:rFonts w:asciiTheme="minorHAnsi" w:eastAsia="Arial" w:hAnsiTheme="minorHAnsi" w:cstheme="minorHAnsi"/>
        </w:rPr>
      </w:pPr>
    </w:p>
    <w:p w:rsidR="00F440B0" w:rsidRDefault="00F440B0" w:rsidP="00F440B0">
      <w:pPr>
        <w:rPr>
          <w:rFonts w:asciiTheme="minorHAnsi" w:eastAsia="Arial" w:hAnsiTheme="minorHAnsi" w:cstheme="minorHAnsi"/>
        </w:rPr>
      </w:pPr>
    </w:p>
    <w:p w:rsidR="00F440B0" w:rsidRDefault="00F440B0" w:rsidP="00F440B0">
      <w:pPr>
        <w:rPr>
          <w:rFonts w:asciiTheme="minorHAnsi" w:eastAsia="Arial" w:hAnsiTheme="minorHAnsi" w:cstheme="minorHAnsi"/>
        </w:rPr>
      </w:pPr>
    </w:p>
    <w:p w:rsidR="00F440B0" w:rsidRDefault="00F440B0" w:rsidP="00F440B0">
      <w:pPr>
        <w:rPr>
          <w:rFonts w:asciiTheme="minorHAnsi" w:eastAsia="Arial" w:hAnsiTheme="minorHAnsi" w:cstheme="minorHAnsi"/>
        </w:rPr>
      </w:pPr>
    </w:p>
    <w:p w:rsidR="00F440B0" w:rsidRDefault="00F440B0" w:rsidP="00F440B0">
      <w:pPr>
        <w:rPr>
          <w:rFonts w:asciiTheme="minorHAnsi" w:eastAsia="Arial" w:hAnsiTheme="minorHAnsi" w:cstheme="minorHAnsi"/>
        </w:rPr>
      </w:pPr>
    </w:p>
    <w:p w:rsidR="00F440B0" w:rsidRDefault="00F440B0" w:rsidP="00F440B0">
      <w:pPr>
        <w:rPr>
          <w:rFonts w:asciiTheme="minorHAnsi" w:eastAsia="Arial" w:hAnsiTheme="minorHAnsi" w:cstheme="minorHAnsi"/>
        </w:rPr>
      </w:pPr>
    </w:p>
    <w:p w:rsidR="00F440B0" w:rsidRPr="00F440B0" w:rsidRDefault="00CB59E7" w:rsidP="00F440B0">
      <w:pPr>
        <w:rPr>
          <w:rFonts w:asciiTheme="minorHAnsi" w:eastAsia="Arial" w:hAnsiTheme="minorHAnsi" w:cstheme="minorHAnsi"/>
        </w:rPr>
      </w:pPr>
      <w:r w:rsidRPr="00CC4536">
        <w:rPr>
          <w:rFonts w:asciiTheme="minorHAnsi" w:eastAsia="Arial" w:hAnsiTheme="minorHAnsi" w:cstheme="minorHAnsi"/>
        </w:rPr>
        <w:t>1.4. D'autres associations sont utilisées en 1ère ligne dans le cancer colorectal métastatique: + 5-FU, acide folinique et bévacizumab ou capecitabine avec ou sans bévacizumab.</w:t>
      </w:r>
    </w:p>
    <w:p w:rsidR="00CB59E7" w:rsidRPr="00CC4536" w:rsidRDefault="00CB59E7" w:rsidP="00CB59E7">
      <w:pPr>
        <w:rPr>
          <w:rFonts w:asciiTheme="minorHAnsi" w:eastAsia="Arial" w:hAnsiTheme="minorHAnsi" w:cstheme="minorHAnsi"/>
          <w:i/>
        </w:rPr>
      </w:pPr>
      <w:r w:rsidRPr="00CC4536">
        <w:rPr>
          <w:rFonts w:asciiTheme="minorHAnsi" w:eastAsia="Arial" w:hAnsiTheme="minorHAnsi" w:cstheme="minorHAnsi"/>
          <w:b/>
          <w:i/>
        </w:rPr>
        <w:t xml:space="preserve">REMARQUE </w:t>
      </w:r>
      <w:r w:rsidRPr="00CC4536">
        <w:rPr>
          <w:rFonts w:asciiTheme="minorHAnsi" w:eastAsia="Arial" w:hAnsiTheme="minorHAnsi" w:cstheme="minorHAnsi"/>
          <w:i/>
        </w:rPr>
        <w:t>:ne peut être administré que dans les structures hospitalières</w:t>
      </w:r>
      <w:r w:rsidRPr="00CC4536">
        <w:rPr>
          <w:rFonts w:asciiTheme="minorHAnsi" w:eastAsia="Arial" w:hAnsiTheme="minorHAnsi" w:cstheme="minorHAnsi"/>
          <w:b/>
          <w:i/>
        </w:rPr>
        <w:t xml:space="preserve"> </w:t>
      </w:r>
      <w:r w:rsidRPr="00CC4536">
        <w:rPr>
          <w:rFonts w:asciiTheme="minorHAnsi" w:eastAsia="Arial" w:hAnsiTheme="minorHAnsi" w:cstheme="minorHAnsi"/>
          <w:i/>
        </w:rPr>
        <w:t>spécialisées et par des personnels qualifiés .</w:t>
      </w:r>
    </w:p>
    <w:p w:rsidR="00CB59E7" w:rsidRPr="00E92C53" w:rsidRDefault="00CB59E7" w:rsidP="00CB59E7">
      <w:pPr>
        <w:rPr>
          <w:rFonts w:asciiTheme="minorHAnsi" w:eastAsia="Arial" w:hAnsiTheme="minorHAnsi" w:cstheme="minorHAnsi"/>
          <w:b/>
          <w:bCs/>
          <w:color w:val="0070C0"/>
          <w:sz w:val="22"/>
          <w:szCs w:val="22"/>
        </w:rPr>
      </w:pPr>
      <w:r w:rsidRPr="00E92C53">
        <w:rPr>
          <w:rFonts w:asciiTheme="minorHAnsi" w:eastAsia="Arial" w:hAnsiTheme="minorHAnsi" w:cstheme="minorHAnsi"/>
          <w:b/>
          <w:bCs/>
          <w:color w:val="0070C0"/>
          <w:sz w:val="22"/>
          <w:szCs w:val="22"/>
        </w:rPr>
        <w:t>2. TOXICITE</w:t>
      </w:r>
    </w:p>
    <w:p w:rsidR="00CB59E7" w:rsidRPr="00CC4536" w:rsidRDefault="00CB59E7" w:rsidP="00CB59E7">
      <w:pPr>
        <w:rPr>
          <w:rFonts w:asciiTheme="minorHAnsi" w:eastAsia="Arial" w:hAnsiTheme="minorHAnsi" w:cstheme="minorHAnsi"/>
        </w:rPr>
      </w:pPr>
      <w:r w:rsidRPr="00A63E93">
        <w:rPr>
          <w:rFonts w:asciiTheme="minorHAnsi" w:eastAsia="Arial" w:hAnsiTheme="minorHAnsi" w:cstheme="minorHAnsi"/>
        </w:rPr>
        <w:t>Neutropénie(Chez 3 patients/4)et un syndrome cholinergique aigu(80% des patients ),nausées</w:t>
      </w:r>
      <w:r w:rsidRPr="00CC4536">
        <w:rPr>
          <w:rFonts w:asciiTheme="minorHAnsi" w:eastAsia="Arial" w:hAnsiTheme="minorHAnsi" w:cstheme="minorHAnsi"/>
        </w:rPr>
        <w:t>, vomissements ,diarrhée retardée.</w:t>
      </w:r>
    </w:p>
    <w:p w:rsidR="00CB59E7" w:rsidRPr="00E92C53" w:rsidRDefault="00CB59E7" w:rsidP="00CB59E7">
      <w:pPr>
        <w:rPr>
          <w:rFonts w:asciiTheme="minorHAnsi" w:eastAsia="Arial" w:hAnsiTheme="minorHAnsi" w:cstheme="minorHAnsi"/>
          <w:b/>
          <w:bCs/>
          <w:color w:val="0070C0"/>
          <w:sz w:val="22"/>
          <w:szCs w:val="22"/>
        </w:rPr>
      </w:pPr>
      <w:r w:rsidRPr="00E92C53">
        <w:rPr>
          <w:rFonts w:asciiTheme="minorHAnsi" w:eastAsia="Arial" w:hAnsiTheme="minorHAnsi" w:cstheme="minorHAnsi"/>
          <w:b/>
          <w:bCs/>
          <w:color w:val="0070C0"/>
          <w:sz w:val="22"/>
          <w:szCs w:val="22"/>
        </w:rPr>
        <w:t>3. CONTRE-INDICATIONS</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-Inflammation chronique de l’intestin et/ou avec occlusion intestinale -réaction d’hypersensibilité au produit</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-femme enceinte ou allaitante</w:t>
      </w:r>
    </w:p>
    <w:p w:rsidR="00CB59E7" w:rsidRPr="00CC4536" w:rsidRDefault="00CB59E7" w:rsidP="00CB59E7">
      <w:pPr>
        <w:rPr>
          <w:rFonts w:asciiTheme="minorHAnsi" w:eastAsia="Arial" w:hAnsiTheme="minorHAnsi" w:cstheme="minorHAnsi"/>
        </w:rPr>
      </w:pPr>
      <w:r w:rsidRPr="00CC4536">
        <w:rPr>
          <w:rFonts w:asciiTheme="minorHAnsi" w:eastAsia="Arial" w:hAnsiTheme="minorHAnsi" w:cstheme="minorHAnsi"/>
        </w:rPr>
        <w:t>-bilirubinémie &gt; 1,5 fois supérieure à la normale.</w:t>
      </w:r>
    </w:p>
    <w:p w:rsidR="00CB59E7" w:rsidRPr="00CC4536" w:rsidRDefault="00CB59E7" w:rsidP="00CB59E7">
      <w:pPr>
        <w:jc w:val="both"/>
        <w:rPr>
          <w:rFonts w:asciiTheme="minorHAnsi" w:eastAsia="Arial" w:hAnsiTheme="minorHAnsi" w:cstheme="minorHAnsi"/>
        </w:rPr>
      </w:pPr>
      <w:r w:rsidRPr="00E92C53">
        <w:rPr>
          <w:rFonts w:asciiTheme="minorHAnsi" w:eastAsia="Arial" w:hAnsiTheme="minorHAnsi" w:cstheme="minorHAnsi"/>
          <w:b/>
          <w:bCs/>
          <w:i/>
          <w:color w:val="0070C0"/>
          <w:sz w:val="22"/>
          <w:szCs w:val="22"/>
        </w:rPr>
        <w:t xml:space="preserve">Spécialité </w:t>
      </w:r>
      <w:r w:rsidRPr="00E92C53">
        <w:rPr>
          <w:rFonts w:asciiTheme="minorHAnsi" w:eastAsia="Arial" w:hAnsiTheme="minorHAnsi" w:cstheme="minorHAnsi"/>
          <w:b/>
          <w:bCs/>
          <w:color w:val="0070C0"/>
          <w:sz w:val="22"/>
          <w:szCs w:val="22"/>
        </w:rPr>
        <w:t>:</w:t>
      </w:r>
      <w:r w:rsidRPr="00CC4536">
        <w:rPr>
          <w:rFonts w:asciiTheme="minorHAnsi" w:eastAsia="Arial" w:hAnsiTheme="minorHAnsi" w:cstheme="minorHAnsi"/>
          <w:i/>
        </w:rPr>
        <w:t xml:space="preserve"> </w:t>
      </w:r>
      <w:r w:rsidRPr="008A2022">
        <w:rPr>
          <w:rFonts w:asciiTheme="minorHAnsi" w:eastAsia="Arial" w:hAnsiTheme="minorHAnsi" w:cstheme="minorHAnsi"/>
          <w:b/>
          <w:color w:val="984806" w:themeColor="accent6" w:themeShade="80"/>
        </w:rPr>
        <w:t>CAMPTO</w:t>
      </w:r>
      <w:r w:rsidRPr="008A2022">
        <w:rPr>
          <w:rFonts w:asciiTheme="minorHAnsi" w:eastAsia="Times New Roman" w:hAnsiTheme="minorHAnsi" w:cstheme="minorHAnsi"/>
          <w:b/>
          <w:color w:val="984806" w:themeColor="accent6" w:themeShade="80"/>
        </w:rPr>
        <w:t>®</w:t>
      </w:r>
      <w:r w:rsidRPr="00CC4536">
        <w:rPr>
          <w:rFonts w:asciiTheme="minorHAnsi" w:eastAsia="Arial" w:hAnsiTheme="minorHAnsi" w:cstheme="minorHAnsi"/>
          <w:i/>
        </w:rPr>
        <w:t xml:space="preserve"> </w:t>
      </w:r>
      <w:r w:rsidRPr="00CC4536">
        <w:rPr>
          <w:rFonts w:asciiTheme="minorHAnsi" w:eastAsia="Arial" w:hAnsiTheme="minorHAnsi" w:cstheme="minorHAnsi"/>
        </w:rPr>
        <w:t>:sol injectable à diluer pour perfusion en IV à 20</w:t>
      </w:r>
      <w:r w:rsidRPr="00CC4536">
        <w:rPr>
          <w:rFonts w:asciiTheme="minorHAnsi" w:eastAsia="Arial" w:hAnsiTheme="minorHAnsi" w:cstheme="minorHAnsi"/>
          <w:i/>
        </w:rPr>
        <w:t xml:space="preserve"> </w:t>
      </w:r>
      <w:r w:rsidRPr="00CC4536">
        <w:rPr>
          <w:rFonts w:asciiTheme="minorHAnsi" w:eastAsia="Arial" w:hAnsiTheme="minorHAnsi" w:cstheme="minorHAnsi"/>
        </w:rPr>
        <w:t>mg/ml ,Flacon de 2 ml ,de 5 ml et de 15 ml (boites unitaires) réservée à l’usage hospitalier.</w:t>
      </w:r>
    </w:p>
    <w:p w:rsidR="004B69C8" w:rsidRDefault="004B69C8" w:rsidP="00CB59E7">
      <w:pPr>
        <w:rPr>
          <w:rFonts w:asciiTheme="minorHAnsi" w:eastAsia="Arial" w:hAnsiTheme="minorHAnsi" w:cstheme="minorHAnsi"/>
          <w:b/>
          <w:color w:val="FF0000"/>
        </w:rPr>
      </w:pPr>
    </w:p>
    <w:p w:rsidR="00CB59E7" w:rsidRPr="00E92C53" w:rsidRDefault="00CB59E7" w:rsidP="00CB59E7">
      <w:pPr>
        <w:rPr>
          <w:rFonts w:asciiTheme="minorHAnsi" w:eastAsia="Arial" w:hAnsiTheme="minorHAnsi" w:cstheme="minorHAnsi"/>
          <w:b/>
          <w:color w:val="006600"/>
          <w:sz w:val="24"/>
          <w:szCs w:val="24"/>
          <w:u w:val="single"/>
        </w:rPr>
      </w:pPr>
      <w:r w:rsidRPr="00E92C53">
        <w:rPr>
          <w:rFonts w:asciiTheme="minorHAnsi" w:eastAsia="Arial" w:hAnsiTheme="minorHAnsi" w:cstheme="minorHAnsi"/>
          <w:b/>
          <w:color w:val="006600"/>
          <w:sz w:val="24"/>
          <w:szCs w:val="24"/>
          <w:u w:val="single"/>
        </w:rPr>
        <w:t>B. TOPOTECAN</w:t>
      </w:r>
    </w:p>
    <w:p w:rsidR="00CB59E7" w:rsidRPr="006B4626" w:rsidRDefault="00CB59E7" w:rsidP="00CB59E7">
      <w:pPr>
        <w:rPr>
          <w:rFonts w:asciiTheme="minorHAnsi" w:eastAsia="Arial" w:hAnsiTheme="minorHAnsi" w:cstheme="minorHAnsi"/>
        </w:rPr>
      </w:pPr>
      <w:r w:rsidRPr="00E92C53">
        <w:rPr>
          <w:rFonts w:asciiTheme="minorHAnsi" w:eastAsia="Arial" w:hAnsiTheme="minorHAnsi" w:cstheme="minorHAnsi"/>
          <w:b/>
          <w:bCs/>
          <w:color w:val="0070C0"/>
          <w:sz w:val="22"/>
          <w:szCs w:val="22"/>
        </w:rPr>
        <w:t>1. INDICATIONS</w:t>
      </w:r>
      <w:r w:rsidRPr="00E92C53">
        <w:rPr>
          <w:rFonts w:asciiTheme="minorHAnsi" w:eastAsia="Arial" w:hAnsiTheme="minorHAnsi" w:cstheme="minorHAnsi"/>
          <w:sz w:val="22"/>
          <w:szCs w:val="22"/>
        </w:rPr>
        <w:br/>
      </w:r>
      <w:r w:rsidRPr="006B4626">
        <w:rPr>
          <w:rFonts w:asciiTheme="minorHAnsi" w:eastAsia="Arial" w:hAnsiTheme="minorHAnsi" w:cstheme="minorHAnsi"/>
        </w:rPr>
        <w:t>Chlorhydrate en sol° pour perfusion, liste I, est indiqué dans:</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-cancer du poumon a petites cellules(CPPC) en rechute lorsque la réintroduction de la première ligne du traitement n’est pas appropriée</w:t>
      </w:r>
    </w:p>
    <w:p w:rsidR="00CB59E7" w:rsidRPr="006B4626" w:rsidRDefault="00CB59E7" w:rsidP="00CC4536">
      <w:pPr>
        <w:rPr>
          <w:rFonts w:asciiTheme="minorHAnsi" w:eastAsia="Arial" w:hAnsiTheme="minorHAnsi" w:cstheme="minorHAnsi"/>
        </w:rPr>
      </w:pPr>
      <w:r w:rsidRPr="006B4626">
        <w:rPr>
          <w:rFonts w:asciiTheme="minorHAnsi" w:eastAsia="Arial" w:hAnsiTheme="minorHAnsi" w:cstheme="minorHAnsi"/>
        </w:rPr>
        <w:t>-Carcinome métastatique de l’ovaire après échec d’une ou de plusieurs lignes de chimiothérapie.</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-En association au cisplatine, le topotécan est indiqué chez les patientes qui présentent un carcinome du col de l’utérus en rechute après radiothérapie ou chez les patientes qui présentent un stade IV-B de la maladie.</w:t>
      </w:r>
    </w:p>
    <w:p w:rsidR="00CB59E7" w:rsidRPr="006B4626" w:rsidRDefault="00CB59E7" w:rsidP="00CC4536">
      <w:pPr>
        <w:rPr>
          <w:rFonts w:asciiTheme="minorHAnsi" w:eastAsia="Arial" w:hAnsiTheme="minorHAnsi" w:cstheme="minorHAnsi"/>
          <w:b/>
          <w:bCs/>
          <w:color w:val="0070C0"/>
          <w:sz w:val="22"/>
          <w:szCs w:val="22"/>
        </w:rPr>
      </w:pPr>
      <w:r w:rsidRPr="006B4626">
        <w:rPr>
          <w:rFonts w:asciiTheme="minorHAnsi" w:eastAsia="Arial" w:hAnsiTheme="minorHAnsi" w:cstheme="minorHAnsi"/>
          <w:b/>
          <w:bCs/>
          <w:color w:val="0070C0"/>
          <w:sz w:val="22"/>
          <w:szCs w:val="22"/>
        </w:rPr>
        <w:t>2. TOXICITE</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Hématologique (neutropénie et thrombopénie sévères )impliquant une surveillance hématologique régulière(NFS,Plaquettes)</w:t>
      </w:r>
    </w:p>
    <w:p w:rsidR="00CB59E7" w:rsidRPr="006B4626" w:rsidRDefault="00CB59E7" w:rsidP="004B69C8">
      <w:pPr>
        <w:rPr>
          <w:rFonts w:asciiTheme="minorHAnsi" w:eastAsia="Arial" w:hAnsiTheme="minorHAnsi" w:cstheme="minorHAnsi"/>
          <w:b/>
          <w:bCs/>
          <w:color w:val="0070C0"/>
          <w:sz w:val="22"/>
          <w:szCs w:val="22"/>
        </w:rPr>
      </w:pPr>
      <w:r w:rsidRPr="006B4626">
        <w:rPr>
          <w:rFonts w:asciiTheme="minorHAnsi" w:eastAsia="Arial" w:hAnsiTheme="minorHAnsi" w:cstheme="minorHAnsi"/>
          <w:b/>
          <w:bCs/>
          <w:color w:val="0070C0"/>
          <w:sz w:val="22"/>
          <w:szCs w:val="22"/>
        </w:rPr>
        <w:t>3. CONTRE-INDICATIONS</w:t>
      </w:r>
    </w:p>
    <w:p w:rsidR="00CB59E7" w:rsidRPr="006B4626" w:rsidRDefault="00CB59E7" w:rsidP="004B69C8">
      <w:pPr>
        <w:rPr>
          <w:rFonts w:asciiTheme="minorHAnsi" w:eastAsia="Arial" w:hAnsiTheme="minorHAnsi" w:cstheme="minorHAnsi"/>
        </w:rPr>
      </w:pPr>
      <w:r w:rsidRPr="006B4626">
        <w:rPr>
          <w:rFonts w:asciiTheme="minorHAnsi" w:eastAsia="Arial" w:hAnsiTheme="minorHAnsi" w:cstheme="minorHAnsi"/>
        </w:rPr>
        <w:t>-Antécédents d’hypersensibilité au produit.</w:t>
      </w:r>
    </w:p>
    <w:p w:rsidR="00CB59E7" w:rsidRPr="006B4626" w:rsidRDefault="00CB59E7" w:rsidP="004B69C8">
      <w:pPr>
        <w:rPr>
          <w:rFonts w:asciiTheme="minorHAnsi" w:eastAsia="Arial" w:hAnsiTheme="minorHAnsi" w:cstheme="minorHAnsi"/>
        </w:rPr>
      </w:pPr>
      <w:r w:rsidRPr="006B4626">
        <w:rPr>
          <w:rFonts w:asciiTheme="minorHAnsi" w:eastAsia="Arial" w:hAnsiTheme="minorHAnsi" w:cstheme="minorHAnsi"/>
        </w:rPr>
        <w:t>-Myélosuppression sévère antérieure au traitement avec un nombre de PNN &lt; 1,5 million/ml ou de plaquettes &lt; 100 million</w:t>
      </w:r>
    </w:p>
    <w:p w:rsidR="00CB59E7" w:rsidRPr="006B4626" w:rsidRDefault="00CB59E7" w:rsidP="004B69C8">
      <w:pPr>
        <w:rPr>
          <w:rFonts w:asciiTheme="minorHAnsi" w:eastAsia="Arial" w:hAnsiTheme="minorHAnsi" w:cstheme="minorHAnsi"/>
        </w:rPr>
      </w:pPr>
      <w:r w:rsidRPr="006B4626">
        <w:rPr>
          <w:rFonts w:asciiTheme="minorHAnsi" w:eastAsia="Arial" w:hAnsiTheme="minorHAnsi" w:cstheme="minorHAnsi"/>
        </w:rPr>
        <w:t>-femme enceinte ou allaitante</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b/>
          <w:bCs/>
          <w:i/>
          <w:iCs/>
          <w:color w:val="0070C0"/>
          <w:sz w:val="22"/>
          <w:szCs w:val="22"/>
        </w:rPr>
        <w:t>Spécialité :</w:t>
      </w:r>
      <w:r w:rsidRPr="00E92C53">
        <w:rPr>
          <w:rFonts w:asciiTheme="minorHAnsi" w:eastAsia="Arial" w:hAnsiTheme="minorHAnsi" w:cstheme="minorHAnsi"/>
          <w:sz w:val="22"/>
          <w:szCs w:val="22"/>
        </w:rPr>
        <w:t xml:space="preserve"> </w:t>
      </w:r>
      <w:r w:rsidR="006B4626">
        <w:rPr>
          <w:rFonts w:asciiTheme="minorHAnsi" w:eastAsia="Arial" w:hAnsiTheme="minorHAnsi" w:cstheme="minorHAnsi"/>
          <w:sz w:val="22"/>
          <w:szCs w:val="22"/>
        </w:rPr>
        <w:t xml:space="preserve"> </w:t>
      </w:r>
      <w:r w:rsidRPr="008A2022">
        <w:rPr>
          <w:rFonts w:asciiTheme="minorHAnsi" w:eastAsia="Arial" w:hAnsiTheme="minorHAnsi" w:cstheme="minorHAnsi"/>
          <w:b/>
          <w:color w:val="984806" w:themeColor="accent6" w:themeShade="80"/>
          <w:sz w:val="22"/>
          <w:szCs w:val="22"/>
        </w:rPr>
        <w:t>HYCAMTIN</w:t>
      </w:r>
      <w:r w:rsidRPr="008A2022">
        <w:rPr>
          <w:rFonts w:asciiTheme="minorHAnsi" w:eastAsia="Times New Roman" w:hAnsiTheme="minorHAnsi" w:cstheme="minorHAnsi"/>
          <w:b/>
          <w:color w:val="984806" w:themeColor="accent6" w:themeShade="80"/>
        </w:rPr>
        <w:t>®</w:t>
      </w:r>
      <w:r w:rsidRPr="006B4626">
        <w:rPr>
          <w:rFonts w:asciiTheme="minorHAnsi" w:eastAsia="Arial" w:hAnsiTheme="minorHAnsi" w:cstheme="minorHAnsi"/>
        </w:rPr>
        <w:t xml:space="preserve"> 4mg : poudre pour solution inj en perfusion dosée a 4 mg/flacon de 5 ml(milieu hospitalier)</w:t>
      </w:r>
    </w:p>
    <w:p w:rsidR="00CB59E7" w:rsidRPr="006B4626" w:rsidRDefault="00CB59E7" w:rsidP="00CB59E7">
      <w:pPr>
        <w:rPr>
          <w:rFonts w:asciiTheme="minorHAnsi" w:eastAsia="Arial" w:hAnsiTheme="minorHAnsi" w:cstheme="minorHAnsi"/>
        </w:rPr>
      </w:pPr>
      <w:r w:rsidRPr="006B4626">
        <w:rPr>
          <w:rFonts w:asciiTheme="minorHAnsi" w:eastAsia="Arial" w:hAnsiTheme="minorHAnsi" w:cstheme="minorHAnsi"/>
        </w:rPr>
        <w:t>En 2008 :Introduction  de la forme gélule :</w:t>
      </w:r>
      <w:r w:rsidRPr="008A2022">
        <w:rPr>
          <w:rFonts w:asciiTheme="minorHAnsi" w:eastAsia="Arial" w:hAnsiTheme="minorHAnsi" w:cstheme="minorHAnsi"/>
          <w:b/>
          <w:color w:val="984806" w:themeColor="accent6" w:themeShade="80"/>
        </w:rPr>
        <w:t>HYCAMTIN</w:t>
      </w:r>
      <w:r w:rsidRPr="008A2022">
        <w:rPr>
          <w:rFonts w:asciiTheme="minorHAnsi" w:eastAsia="Times New Roman" w:hAnsiTheme="minorHAnsi" w:cstheme="minorHAnsi"/>
          <w:b/>
          <w:color w:val="984806" w:themeColor="accent6" w:themeShade="80"/>
        </w:rPr>
        <w:t>®</w:t>
      </w:r>
      <w:r w:rsidRPr="006B4626">
        <w:rPr>
          <w:rFonts w:asciiTheme="minorHAnsi" w:eastAsia="Arial" w:hAnsiTheme="minorHAnsi" w:cstheme="minorHAnsi"/>
        </w:rPr>
        <w:t xml:space="preserve"> 0,25 et 1 mg</w:t>
      </w:r>
    </w:p>
    <w:p w:rsidR="00CB59E7" w:rsidRPr="00E92C53" w:rsidRDefault="00CB59E7">
      <w:pPr>
        <w:rPr>
          <w:sz w:val="22"/>
          <w:szCs w:val="22"/>
        </w:rPr>
      </w:pPr>
    </w:p>
    <w:p w:rsidR="00CB59E7" w:rsidRPr="00CC4536" w:rsidRDefault="00AC7990">
      <w:r>
        <w:rPr>
          <w:noProof/>
        </w:rPr>
        <w:lastRenderedPageBreak/>
        <w:pict>
          <v:shape id="_x0000_s1029" type="#_x0000_t202" style="position:absolute;margin-left:150.9pt;margin-top:-14.85pt;width:491.4pt;height:57pt;z-index:251662336" strokeweight="1.5pt">
            <v:textbox>
              <w:txbxContent>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IFS: TAXUS Sp:</w:t>
                  </w:r>
                  <w:r w:rsidR="00832FDC" w:rsidRPr="00832FDC">
                    <w:rPr>
                      <w:rFonts w:asciiTheme="majorBidi" w:hAnsiTheme="majorBidi" w:cstheme="majorBidi"/>
                      <w:b/>
                      <w:bCs/>
                      <w:color w:val="7030A0"/>
                      <w:sz w:val="40"/>
                      <w:szCs w:val="40"/>
                    </w:rPr>
                    <w:t xml:space="preserve"> </w:t>
                  </w:r>
                  <w:r w:rsidRPr="00832FDC">
                    <w:rPr>
                      <w:rFonts w:asciiTheme="majorBidi" w:hAnsiTheme="majorBidi" w:cstheme="majorBidi"/>
                      <w:b/>
                      <w:bCs/>
                      <w:sz w:val="40"/>
                      <w:szCs w:val="40"/>
                    </w:rPr>
                    <w:t xml:space="preserve"> </w:t>
                  </w:r>
                  <w:r w:rsidRPr="00832FDC">
                    <w:rPr>
                      <w:rFonts w:asciiTheme="majorBidi" w:hAnsiTheme="majorBidi" w:cstheme="majorBidi"/>
                      <w:b/>
                      <w:bCs/>
                      <w:color w:val="5F497A" w:themeColor="accent4" w:themeShade="BF"/>
                      <w:sz w:val="40"/>
                      <w:szCs w:val="40"/>
                    </w:rPr>
                    <w:t>Taxus baccata L. ,T.brevifolia Nutt.</w:t>
                  </w:r>
                </w:p>
                <w:p w:rsidR="00AC7990" w:rsidRPr="00832FDC" w:rsidRDefault="00AC7990" w:rsidP="00AC7990">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(TAXACEAE)</w:t>
                  </w:r>
                </w:p>
              </w:txbxContent>
            </v:textbox>
          </v:shape>
        </w:pict>
      </w:r>
    </w:p>
    <w:p w:rsidR="00CB59E7" w:rsidRDefault="00CB59E7"/>
    <w:p w:rsidR="004B69C8" w:rsidRDefault="004B69C8"/>
    <w:p w:rsidR="004B69C8" w:rsidRDefault="004B69C8"/>
    <w:p w:rsidR="004B69C8" w:rsidRDefault="004B69C8"/>
    <w:p w:rsidR="004B69C8" w:rsidRPr="00F440B0" w:rsidRDefault="004B69C8" w:rsidP="004B69C8">
      <w:pPr>
        <w:rPr>
          <w:rFonts w:asciiTheme="minorHAnsi" w:eastAsia="Arial" w:hAnsiTheme="minorHAnsi" w:cstheme="minorHAnsi"/>
          <w:b/>
          <w:i/>
          <w:sz w:val="22"/>
          <w:szCs w:val="22"/>
        </w:rPr>
      </w:pPr>
      <w:r w:rsidRPr="00F440B0">
        <w:rPr>
          <w:rFonts w:asciiTheme="minorHAnsi" w:eastAsia="Arial" w:hAnsiTheme="minorHAnsi" w:cstheme="minorHAnsi"/>
          <w:b/>
          <w:iCs/>
          <w:color w:val="984806" w:themeColor="accent6" w:themeShade="80"/>
          <w:sz w:val="22"/>
          <w:szCs w:val="22"/>
        </w:rPr>
        <w:t>Drogue:</w:t>
      </w:r>
      <w:r w:rsidRPr="00F440B0">
        <w:rPr>
          <w:rFonts w:asciiTheme="minorHAnsi" w:eastAsia="Arial" w:hAnsiTheme="minorHAnsi" w:cstheme="minorHAnsi"/>
          <w:b/>
          <w:i/>
          <w:sz w:val="22"/>
          <w:szCs w:val="22"/>
        </w:rPr>
        <w:t xml:space="preserve"> feuilles et tiges</w:t>
      </w:r>
    </w:p>
    <w:p w:rsidR="004B69C8" w:rsidRPr="00F440B0" w:rsidRDefault="004B69C8" w:rsidP="004B69C8">
      <w:pPr>
        <w:rPr>
          <w:rFonts w:asciiTheme="minorHAnsi" w:eastAsia="Times New Roman" w:hAnsiTheme="minorHAnsi" w:cstheme="minorHAnsi"/>
          <w:sz w:val="22"/>
          <w:szCs w:val="22"/>
        </w:rPr>
      </w:pPr>
    </w:p>
    <w:p w:rsidR="004B69C8" w:rsidRPr="00F440B0" w:rsidRDefault="004B69C8" w:rsidP="00F440B0">
      <w:pPr>
        <w:pStyle w:val="Titre1"/>
        <w:rPr>
          <w:rFonts w:eastAsia="Arial"/>
        </w:rPr>
      </w:pPr>
      <w:r w:rsidRPr="00F440B0">
        <w:rPr>
          <w:rFonts w:eastAsia="Arial"/>
        </w:rPr>
        <w:t>1.INTRODUCTION</w:t>
      </w:r>
    </w:p>
    <w:p w:rsidR="004B69C8" w:rsidRDefault="004B69C8" w:rsidP="00F440B0">
      <w:pPr>
        <w:rPr>
          <w:rFonts w:asciiTheme="minorHAnsi" w:eastAsia="Arial" w:hAnsiTheme="minorHAnsi" w:cstheme="minorHAnsi"/>
          <w:sz w:val="22"/>
          <w:szCs w:val="22"/>
        </w:rPr>
      </w:pPr>
      <w:r w:rsidRPr="00F440B0">
        <w:rPr>
          <w:rFonts w:asciiTheme="minorHAnsi" w:eastAsia="Arial" w:hAnsiTheme="minorHAnsi" w:cstheme="minorHAnsi"/>
          <w:sz w:val="22"/>
          <w:szCs w:val="22"/>
        </w:rPr>
        <w:t>Ifs:</w:t>
      </w:r>
      <w:r w:rsidR="00F440B0">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 xml:space="preserve"> sont des espèces connus depuis l’antiquité pour leur toxicité chez l’homme et chez les animaux. Actuellement,ils fournissent 2 substances</w:t>
      </w:r>
      <w:r w:rsidR="00F440B0">
        <w:rPr>
          <w:rFonts w:asciiTheme="minorHAnsi" w:eastAsia="Arial" w:hAnsiTheme="minorHAnsi" w:cstheme="minorHAnsi"/>
          <w:sz w:val="22"/>
          <w:szCs w:val="22"/>
        </w:rPr>
        <w:t xml:space="preserve"> diterpeniques anti-tumorales : </w:t>
      </w:r>
      <w:r w:rsidR="00F440B0" w:rsidRPr="00F440B0">
        <w:rPr>
          <w:rFonts w:asciiTheme="minorHAnsi" w:eastAsia="Arial" w:hAnsiTheme="minorHAnsi" w:cstheme="minorHAnsi"/>
          <w:b/>
          <w:bCs/>
          <w:sz w:val="22"/>
          <w:szCs w:val="22"/>
        </w:rPr>
        <w:t>Paclitaxel</w:t>
      </w:r>
      <w:r w:rsidR="00F440B0">
        <w:rPr>
          <w:rFonts w:asciiTheme="minorHAnsi" w:eastAsia="Arial" w:hAnsiTheme="minorHAnsi" w:cstheme="minorHAnsi"/>
          <w:b/>
          <w:bCs/>
          <w:sz w:val="22"/>
          <w:szCs w:val="22"/>
        </w:rPr>
        <w:t xml:space="preserve"> </w:t>
      </w:r>
      <w:r w:rsidR="00F440B0">
        <w:rPr>
          <w:rFonts w:asciiTheme="minorHAnsi" w:eastAsia="Arial" w:hAnsiTheme="minorHAnsi" w:cstheme="minorHAnsi"/>
          <w:sz w:val="22"/>
          <w:szCs w:val="22"/>
        </w:rPr>
        <w:t xml:space="preserve">(TAXOL ) et </w:t>
      </w:r>
      <w:r w:rsidR="00F440B0" w:rsidRPr="00F440B0">
        <w:rPr>
          <w:rFonts w:asciiTheme="minorHAnsi" w:eastAsia="Arial" w:hAnsiTheme="minorHAnsi" w:cstheme="minorHAnsi"/>
          <w:b/>
          <w:bCs/>
          <w:sz w:val="22"/>
          <w:szCs w:val="22"/>
        </w:rPr>
        <w:t>D</w:t>
      </w:r>
      <w:r w:rsidRPr="00F440B0">
        <w:rPr>
          <w:rFonts w:asciiTheme="minorHAnsi" w:eastAsia="Arial" w:hAnsiTheme="minorHAnsi" w:cstheme="minorHAnsi"/>
          <w:b/>
          <w:bCs/>
          <w:sz w:val="22"/>
          <w:szCs w:val="22"/>
        </w:rPr>
        <w:t>océtaxel</w:t>
      </w:r>
      <w:r w:rsidR="00F440B0">
        <w:rPr>
          <w:rFonts w:asciiTheme="minorHAnsi" w:eastAsia="Arial" w:hAnsiTheme="minorHAnsi" w:cstheme="minorHAnsi"/>
          <w:b/>
          <w:bCs/>
          <w:sz w:val="22"/>
          <w:szCs w:val="22"/>
        </w:rPr>
        <w:t xml:space="preserve"> </w:t>
      </w:r>
      <w:r w:rsidRPr="00F440B0">
        <w:rPr>
          <w:rFonts w:asciiTheme="minorHAnsi" w:eastAsia="Arial" w:hAnsiTheme="minorHAnsi" w:cstheme="minorHAnsi"/>
          <w:sz w:val="22"/>
          <w:szCs w:val="22"/>
        </w:rPr>
        <w:t>(TAXOTERE).</w:t>
      </w:r>
    </w:p>
    <w:p w:rsidR="00F440B0" w:rsidRPr="00F440B0" w:rsidRDefault="00F440B0" w:rsidP="004B69C8">
      <w:pPr>
        <w:rPr>
          <w:rFonts w:asciiTheme="minorHAnsi" w:eastAsia="Arial" w:hAnsiTheme="minorHAnsi" w:cstheme="minorHAnsi"/>
          <w:sz w:val="22"/>
          <w:szCs w:val="22"/>
        </w:rPr>
      </w:pPr>
    </w:p>
    <w:p w:rsidR="004B69C8" w:rsidRPr="00F440B0" w:rsidRDefault="004B69C8" w:rsidP="00F440B0">
      <w:pPr>
        <w:pStyle w:val="Titre1"/>
        <w:rPr>
          <w:rFonts w:eastAsia="Arial"/>
        </w:rPr>
      </w:pPr>
      <w:r w:rsidRPr="00F440B0">
        <w:rPr>
          <w:rFonts w:eastAsia="Arial"/>
        </w:rPr>
        <w:t>2. CARACTERES BOTANIQUES DES IFS :</w:t>
      </w:r>
    </w:p>
    <w:p w:rsidR="004B69C8" w:rsidRPr="00F440B0" w:rsidRDefault="004B69C8" w:rsidP="00F440B0">
      <w:pPr>
        <w:rPr>
          <w:rFonts w:asciiTheme="minorHAnsi" w:eastAsia="Arial" w:hAnsiTheme="minorHAnsi" w:cstheme="minorHAnsi"/>
          <w:b/>
          <w:bCs/>
          <w:color w:val="006600"/>
          <w:sz w:val="24"/>
          <w:szCs w:val="24"/>
        </w:rPr>
      </w:pPr>
      <w:r w:rsidRPr="00F440B0">
        <w:rPr>
          <w:rFonts w:asciiTheme="minorHAnsi" w:eastAsia="Arial" w:hAnsiTheme="minorHAnsi" w:cstheme="minorHAnsi"/>
          <w:b/>
          <w:bCs/>
          <w:color w:val="006600"/>
          <w:sz w:val="24"/>
          <w:szCs w:val="24"/>
        </w:rPr>
        <w:t>CARACTERES MACROSCOPIQUES DES ESPECES DU</w:t>
      </w:r>
      <w:r w:rsidR="00F440B0" w:rsidRPr="00F440B0">
        <w:rPr>
          <w:rFonts w:asciiTheme="minorHAnsi" w:eastAsia="Arial" w:hAnsiTheme="minorHAnsi" w:cstheme="minorHAnsi"/>
          <w:b/>
          <w:bCs/>
          <w:color w:val="006600"/>
          <w:sz w:val="24"/>
          <w:szCs w:val="24"/>
        </w:rPr>
        <w:t xml:space="preserve"> </w:t>
      </w:r>
      <w:r w:rsidRPr="00F440B0">
        <w:rPr>
          <w:rFonts w:asciiTheme="minorHAnsi" w:eastAsia="Arial" w:hAnsiTheme="minorHAnsi" w:cstheme="minorHAnsi"/>
          <w:b/>
          <w:bCs/>
          <w:color w:val="006600"/>
          <w:sz w:val="24"/>
          <w:szCs w:val="24"/>
        </w:rPr>
        <w:t>GENRES TAXUS</w:t>
      </w:r>
      <w:r w:rsidR="00F440B0" w:rsidRPr="00F440B0">
        <w:rPr>
          <w:rFonts w:asciiTheme="minorHAnsi" w:eastAsia="Arial" w:hAnsiTheme="minorHAnsi" w:cstheme="minorHAnsi"/>
          <w:b/>
          <w:bCs/>
          <w:color w:val="006600"/>
          <w:sz w:val="24"/>
          <w:szCs w:val="24"/>
        </w:rPr>
        <w:t>:</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-feuilles en aiguilles aplaties et molles -fleurs mâles en forme de bouclier</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-appareil femelle ; réduit en un ovule qui à maturité entouré d’un arille rouge</w:t>
      </w:r>
    </w:p>
    <w:p w:rsidR="004B69C8" w:rsidRPr="00F440B0" w:rsidRDefault="00F440B0" w:rsidP="005A4B0A">
      <w:pPr>
        <w:numPr>
          <w:ilvl w:val="1"/>
          <w:numId w:val="2"/>
        </w:numPr>
        <w:tabs>
          <w:tab w:val="left" w:pos="1080"/>
        </w:tabs>
        <w:ind w:hanging="365"/>
        <w:rPr>
          <w:rFonts w:asciiTheme="minorHAnsi" w:eastAsia="Wingdings" w:hAnsiTheme="minorHAnsi" w:cstheme="minorHAnsi"/>
          <w:sz w:val="22"/>
          <w:szCs w:val="22"/>
          <w:vertAlign w:val="superscript"/>
        </w:rPr>
      </w:pPr>
      <w:r>
        <w:rPr>
          <w:rFonts w:asciiTheme="minorHAnsi" w:eastAsia="Arial" w:hAnsiTheme="minorHAnsi" w:cstheme="minorHAnsi"/>
          <w:sz w:val="22"/>
          <w:szCs w:val="22"/>
        </w:rPr>
        <w:tab/>
      </w:r>
      <w:r w:rsidR="004B69C8" w:rsidRPr="005A4B0A">
        <w:rPr>
          <w:rFonts w:asciiTheme="minorHAnsi" w:eastAsia="Arial" w:hAnsiTheme="minorHAnsi" w:cstheme="minorHAnsi"/>
          <w:b/>
          <w:bCs/>
          <w:color w:val="0070C0"/>
          <w:sz w:val="22"/>
          <w:szCs w:val="22"/>
        </w:rPr>
        <w:t xml:space="preserve">Caractères Macroscopiques de </w:t>
      </w:r>
      <w:r w:rsidR="005A4B0A">
        <w:rPr>
          <w:rFonts w:asciiTheme="minorHAnsi" w:eastAsia="Arial" w:hAnsiTheme="minorHAnsi" w:cstheme="minorHAnsi"/>
          <w:b/>
          <w:bCs/>
          <w:color w:val="0070C0"/>
          <w:sz w:val="22"/>
          <w:szCs w:val="22"/>
        </w:rPr>
        <w:t>T</w:t>
      </w:r>
      <w:r w:rsidR="004B69C8" w:rsidRPr="005A4B0A">
        <w:rPr>
          <w:rFonts w:asciiTheme="minorHAnsi" w:eastAsia="Arial" w:hAnsiTheme="minorHAnsi" w:cstheme="minorHAnsi"/>
          <w:b/>
          <w:bCs/>
          <w:color w:val="0070C0"/>
          <w:sz w:val="22"/>
          <w:szCs w:val="22"/>
        </w:rPr>
        <w:t>axus baccata</w:t>
      </w:r>
      <w:r w:rsidR="004B69C8" w:rsidRPr="005A4B0A">
        <w:rPr>
          <w:rFonts w:asciiTheme="minorHAnsi" w:eastAsia="Arial" w:hAnsiTheme="minorHAnsi" w:cstheme="minorHAnsi"/>
          <w:b/>
          <w:bCs/>
          <w:sz w:val="22"/>
          <w:szCs w:val="22"/>
        </w:rPr>
        <w:t xml:space="preserve"> :</w:t>
      </w:r>
      <w:r w:rsidR="004B69C8" w:rsidRPr="00F440B0">
        <w:rPr>
          <w:rFonts w:asciiTheme="minorHAnsi" w:eastAsia="Arial" w:hAnsiTheme="minorHAnsi" w:cstheme="minorHAnsi"/>
          <w:sz w:val="22"/>
          <w:szCs w:val="22"/>
        </w:rPr>
        <w:t xml:space="preserve">arbre de grande taille </w:t>
      </w:r>
      <w:r>
        <w:rPr>
          <w:rFonts w:asciiTheme="minorHAnsi" w:eastAsia="Arial" w:hAnsiTheme="minorHAnsi" w:cstheme="minorHAnsi"/>
          <w:sz w:val="22"/>
          <w:szCs w:val="22"/>
        </w:rPr>
        <w:tab/>
      </w:r>
      <w:r w:rsidR="004B69C8" w:rsidRPr="00F440B0">
        <w:rPr>
          <w:rFonts w:asciiTheme="minorHAnsi" w:eastAsia="Arial" w:hAnsiTheme="minorHAnsi" w:cstheme="minorHAnsi"/>
          <w:sz w:val="22"/>
          <w:szCs w:val="22"/>
        </w:rPr>
        <w:t xml:space="preserve">dioïque à croissance lente et à longévité exceptionnelle (plante </w:t>
      </w:r>
      <w:r>
        <w:rPr>
          <w:rFonts w:asciiTheme="minorHAnsi" w:eastAsia="Arial" w:hAnsiTheme="minorHAnsi" w:cstheme="minorHAnsi"/>
          <w:sz w:val="22"/>
          <w:szCs w:val="22"/>
        </w:rPr>
        <w:tab/>
      </w:r>
      <w:r w:rsidR="004B69C8" w:rsidRPr="00F440B0">
        <w:rPr>
          <w:rFonts w:asciiTheme="minorHAnsi" w:eastAsia="Arial" w:hAnsiTheme="minorHAnsi" w:cstheme="minorHAnsi"/>
          <w:sz w:val="22"/>
          <w:szCs w:val="22"/>
        </w:rPr>
        <w:t>ornementale rencontrée dans les parcs et jardin en Europe.)</w:t>
      </w:r>
    </w:p>
    <w:p w:rsidR="004B69C8" w:rsidRPr="00F440B0" w:rsidRDefault="00F440B0" w:rsidP="004B69C8">
      <w:pPr>
        <w:numPr>
          <w:ilvl w:val="1"/>
          <w:numId w:val="2"/>
        </w:numPr>
        <w:tabs>
          <w:tab w:val="left" w:pos="1080"/>
        </w:tabs>
        <w:ind w:hanging="365"/>
        <w:jc w:val="both"/>
        <w:rPr>
          <w:rFonts w:asciiTheme="minorHAnsi" w:eastAsia="Wingdings" w:hAnsiTheme="minorHAnsi" w:cstheme="minorHAnsi"/>
          <w:sz w:val="22"/>
          <w:szCs w:val="22"/>
          <w:vertAlign w:val="superscript"/>
        </w:rPr>
      </w:pPr>
      <w:r>
        <w:rPr>
          <w:rFonts w:asciiTheme="minorHAnsi" w:eastAsia="Arial" w:hAnsiTheme="minorHAnsi" w:cstheme="minorHAnsi"/>
          <w:sz w:val="22"/>
          <w:szCs w:val="22"/>
        </w:rPr>
        <w:tab/>
      </w:r>
      <w:r w:rsidR="004B69C8" w:rsidRPr="005A4B0A">
        <w:rPr>
          <w:rFonts w:asciiTheme="minorHAnsi" w:eastAsia="Arial" w:hAnsiTheme="minorHAnsi" w:cstheme="minorHAnsi"/>
          <w:b/>
          <w:bCs/>
          <w:color w:val="0070C0"/>
          <w:sz w:val="22"/>
          <w:szCs w:val="22"/>
        </w:rPr>
        <w:t>Taxus brevifolia :</w:t>
      </w:r>
      <w:r w:rsidR="004B69C8" w:rsidRPr="00F440B0">
        <w:rPr>
          <w:rFonts w:asciiTheme="minorHAnsi" w:eastAsia="Arial" w:hAnsiTheme="minorHAnsi" w:cstheme="minorHAnsi"/>
          <w:sz w:val="22"/>
          <w:szCs w:val="22"/>
        </w:rPr>
        <w:t xml:space="preserve"> rencontré en Amérique du Nord</w:t>
      </w:r>
    </w:p>
    <w:p w:rsidR="00F440B0" w:rsidRPr="00F440B0" w:rsidRDefault="00F440B0" w:rsidP="00F440B0">
      <w:pPr>
        <w:tabs>
          <w:tab w:val="left" w:pos="1080"/>
        </w:tabs>
        <w:jc w:val="both"/>
        <w:rPr>
          <w:rFonts w:asciiTheme="minorHAnsi" w:eastAsia="Wingdings" w:hAnsiTheme="minorHAnsi" w:cstheme="minorHAnsi"/>
          <w:sz w:val="22"/>
          <w:szCs w:val="22"/>
          <w:vertAlign w:val="superscript"/>
        </w:rPr>
      </w:pPr>
    </w:p>
    <w:p w:rsidR="004B69C8" w:rsidRPr="00F440B0" w:rsidRDefault="00F440B0" w:rsidP="00F440B0">
      <w:pPr>
        <w:pStyle w:val="Titre1"/>
        <w:rPr>
          <w:rFonts w:eastAsia="Arial"/>
        </w:rPr>
      </w:pPr>
      <w:r>
        <w:rPr>
          <w:rFonts w:eastAsia="Arial"/>
        </w:rPr>
        <w:t xml:space="preserve">3. </w:t>
      </w:r>
      <w:r w:rsidR="004B69C8" w:rsidRPr="00F440B0">
        <w:rPr>
          <w:rFonts w:eastAsia="Arial"/>
        </w:rPr>
        <w:t>COMPOSITION CHIMIQUE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-Divers métabolites isolés : oses, polysaccharides ,Acides </w:t>
      </w:r>
      <w:r w:rsidR="005A4B0A">
        <w:rPr>
          <w:rFonts w:asciiTheme="minorHAnsi" w:eastAsia="Arial" w:hAnsiTheme="minorHAnsi" w:cstheme="minorHAnsi"/>
          <w:sz w:val="22"/>
          <w:szCs w:val="22"/>
        </w:rPr>
        <w:t xml:space="preserve">gras ,stérols ,bis-flavonoides, </w:t>
      </w:r>
      <w:r w:rsidRPr="00F440B0">
        <w:rPr>
          <w:rFonts w:asciiTheme="minorHAnsi" w:eastAsia="Arial" w:hAnsiTheme="minorHAnsi" w:cstheme="minorHAnsi"/>
          <w:sz w:val="22"/>
          <w:szCs w:val="22"/>
        </w:rPr>
        <w:t>proanthocyanidols lignanes,</w:t>
      </w:r>
      <w:r w:rsidR="005A4B0A">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hétérosides cyanogènes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!!!!Diterpènes tricyclique à Noyau taxane :</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-Taxucine</w:t>
      </w:r>
    </w:p>
    <w:p w:rsidR="005A4B0A"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-baccatine III et</w:t>
      </w:r>
      <w:r w:rsidR="005A4B0A">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dérivés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 -Taxine</w:t>
      </w:r>
    </w:p>
    <w:p w:rsidR="004B69C8" w:rsidRDefault="004B69C8" w:rsidP="005A4B0A">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 -</w:t>
      </w:r>
      <w:r w:rsidR="005A4B0A" w:rsidRPr="005A4B0A">
        <w:rPr>
          <w:rFonts w:asciiTheme="minorHAnsi" w:eastAsia="Arial" w:hAnsiTheme="minorHAnsi" w:cstheme="minorHAnsi"/>
          <w:b/>
          <w:bCs/>
          <w:sz w:val="22"/>
          <w:szCs w:val="22"/>
        </w:rPr>
        <w:t>T</w:t>
      </w:r>
      <w:r w:rsidRPr="005A4B0A">
        <w:rPr>
          <w:rFonts w:asciiTheme="minorHAnsi" w:eastAsia="Arial" w:hAnsiTheme="minorHAnsi" w:cstheme="minorHAnsi"/>
          <w:b/>
          <w:bCs/>
          <w:sz w:val="22"/>
          <w:szCs w:val="22"/>
        </w:rPr>
        <w:t>axol</w:t>
      </w:r>
      <w:r w:rsidR="005A4B0A" w:rsidRPr="005A4B0A">
        <w:rPr>
          <w:rFonts w:asciiTheme="minorHAnsi" w:eastAsia="Arial" w:hAnsiTheme="minorHAnsi" w:cstheme="minorHAnsi"/>
          <w:b/>
          <w:bCs/>
          <w:sz w:val="22"/>
          <w:szCs w:val="22"/>
        </w:rPr>
        <w:t xml:space="preserve"> </w:t>
      </w:r>
      <w:r w:rsidRPr="00F440B0">
        <w:rPr>
          <w:rFonts w:asciiTheme="minorHAnsi" w:eastAsia="Arial" w:hAnsiTheme="minorHAnsi" w:cstheme="minorHAnsi"/>
          <w:sz w:val="22"/>
          <w:szCs w:val="22"/>
        </w:rPr>
        <w:t>(Paclitaxel DCI )</w:t>
      </w:r>
    </w:p>
    <w:p w:rsidR="00F440B0" w:rsidRPr="00F440B0" w:rsidRDefault="00F440B0" w:rsidP="004B69C8">
      <w:pPr>
        <w:rPr>
          <w:rFonts w:asciiTheme="minorHAnsi" w:eastAsia="Arial" w:hAnsiTheme="minorHAnsi" w:cstheme="minorHAnsi"/>
          <w:sz w:val="22"/>
          <w:szCs w:val="22"/>
        </w:rPr>
      </w:pPr>
    </w:p>
    <w:p w:rsidR="004B69C8" w:rsidRPr="00F440B0" w:rsidRDefault="004B69C8" w:rsidP="005A4B0A">
      <w:pPr>
        <w:pStyle w:val="Titre1"/>
        <w:rPr>
          <w:rFonts w:eastAsia="Arial"/>
        </w:rPr>
      </w:pPr>
      <w:r w:rsidRPr="00F440B0">
        <w:rPr>
          <w:rFonts w:eastAsia="Arial"/>
        </w:rPr>
        <w:t xml:space="preserve">4. SOURCES DE TAXOL </w:t>
      </w:r>
      <w:r w:rsidR="00F440B0">
        <w:rPr>
          <w:rFonts w:eastAsia="Arial"/>
        </w:rPr>
        <w:t>(</w:t>
      </w:r>
      <w:r w:rsidRPr="00F440B0">
        <w:rPr>
          <w:rFonts w:eastAsia="Arial"/>
        </w:rPr>
        <w:t>A RETENIR!!</w:t>
      </w:r>
      <w:r w:rsidR="00F440B0">
        <w:rPr>
          <w:rFonts w:eastAsia="Arial"/>
        </w:rPr>
        <w:t>)</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Taxol : initialement isolé de :</w:t>
      </w:r>
    </w:p>
    <w:p w:rsidR="004B69C8"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-écorces de tronc de </w:t>
      </w:r>
      <w:r w:rsidRPr="005A4B0A">
        <w:rPr>
          <w:rFonts w:asciiTheme="minorHAnsi" w:eastAsia="Arial" w:hAnsiTheme="minorHAnsi" w:cstheme="minorHAnsi"/>
          <w:i/>
          <w:iCs/>
          <w:color w:val="003300"/>
          <w:sz w:val="22"/>
          <w:szCs w:val="22"/>
        </w:rPr>
        <w:t>T.brevifolia</w:t>
      </w:r>
      <w:r w:rsidRPr="00F440B0">
        <w:rPr>
          <w:rFonts w:asciiTheme="minorHAnsi" w:eastAsia="Arial" w:hAnsiTheme="minorHAnsi" w:cstheme="minorHAnsi"/>
          <w:sz w:val="22"/>
          <w:szCs w:val="22"/>
        </w:rPr>
        <w:t xml:space="preserve"> (0,01% ou 10 ppm) un arbre centenaire peut produire 3kg d’écorces=300 mg de taxol ou 1</w:t>
      </w:r>
      <w:r w:rsidR="005A4B0A">
        <w:rPr>
          <w:rFonts w:asciiTheme="minorHAnsi" w:eastAsia="Arial" w:hAnsiTheme="minorHAnsi" w:cstheme="minorHAnsi"/>
          <w:sz w:val="22"/>
          <w:szCs w:val="22"/>
        </w:rPr>
        <w:t xml:space="preserve"> kg de taxol nécessite 7 tonnes </w:t>
      </w:r>
      <w:r w:rsidRPr="00F440B0">
        <w:rPr>
          <w:rFonts w:asciiTheme="minorHAnsi" w:eastAsia="Arial" w:hAnsiTheme="minorHAnsi" w:cstheme="minorHAnsi"/>
          <w:sz w:val="22"/>
          <w:szCs w:val="22"/>
        </w:rPr>
        <w:t>d’écorces.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Conséquences : disparition à terme de l’espèce en cas d’exploitation industrielle intensive.</w:t>
      </w:r>
    </w:p>
    <w:p w:rsidR="005A4B0A" w:rsidRDefault="005A4B0A" w:rsidP="004B69C8">
      <w:pPr>
        <w:rPr>
          <w:rFonts w:asciiTheme="minorHAnsi" w:eastAsia="Arial" w:hAnsiTheme="minorHAnsi" w:cstheme="minorHAnsi"/>
          <w:sz w:val="22"/>
          <w:szCs w:val="22"/>
        </w:rPr>
      </w:pPr>
    </w:p>
    <w:p w:rsidR="005A4B0A" w:rsidRDefault="005A4B0A" w:rsidP="004B69C8">
      <w:pPr>
        <w:rPr>
          <w:rFonts w:asciiTheme="minorHAnsi" w:eastAsia="Arial" w:hAnsiTheme="minorHAnsi" w:cstheme="minorHAnsi"/>
          <w:sz w:val="22"/>
          <w:szCs w:val="22"/>
        </w:rPr>
      </w:pPr>
    </w:p>
    <w:p w:rsidR="005A4B0A" w:rsidRDefault="005A4B0A" w:rsidP="004B69C8">
      <w:pPr>
        <w:rPr>
          <w:rFonts w:asciiTheme="minorHAnsi" w:eastAsia="Arial" w:hAnsiTheme="minorHAnsi" w:cstheme="minorHAnsi"/>
          <w:sz w:val="22"/>
          <w:szCs w:val="22"/>
        </w:rPr>
      </w:pPr>
    </w:p>
    <w:p w:rsidR="005A4B0A" w:rsidRDefault="005A4B0A" w:rsidP="004B69C8">
      <w:pPr>
        <w:rPr>
          <w:rFonts w:asciiTheme="minorHAnsi" w:eastAsia="Arial" w:hAnsiTheme="minorHAnsi" w:cstheme="minorHAnsi"/>
          <w:sz w:val="22"/>
          <w:szCs w:val="22"/>
        </w:rPr>
      </w:pPr>
    </w:p>
    <w:p w:rsidR="005A4B0A" w:rsidRDefault="005A4B0A" w:rsidP="004B69C8">
      <w:pPr>
        <w:rPr>
          <w:rFonts w:asciiTheme="minorHAnsi" w:eastAsia="Arial" w:hAnsiTheme="minorHAnsi" w:cstheme="minorHAnsi"/>
          <w:sz w:val="22"/>
          <w:szCs w:val="22"/>
        </w:rPr>
      </w:pPr>
    </w:p>
    <w:p w:rsidR="005A4B0A" w:rsidRDefault="005A4B0A" w:rsidP="004B69C8">
      <w:pPr>
        <w:rPr>
          <w:rFonts w:asciiTheme="minorHAnsi" w:eastAsia="Arial" w:hAnsiTheme="minorHAnsi" w:cstheme="minorHAnsi"/>
          <w:sz w:val="22"/>
          <w:szCs w:val="22"/>
        </w:rPr>
      </w:pPr>
    </w:p>
    <w:p w:rsidR="00BF737B" w:rsidRDefault="00BF737B" w:rsidP="004B69C8">
      <w:pPr>
        <w:rPr>
          <w:rFonts w:asciiTheme="minorHAnsi" w:eastAsia="Arial" w:hAnsiTheme="minorHAnsi" w:cstheme="minorHAnsi"/>
          <w:sz w:val="22"/>
          <w:szCs w:val="22"/>
        </w:rPr>
      </w:pP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-Les études systématique du genre Taxus ont aboutit à la sélection et à la mise en culture de variétés dont les feuilles const</w:t>
      </w:r>
      <w:r w:rsidR="005A4B0A">
        <w:rPr>
          <w:rFonts w:asciiTheme="minorHAnsi" w:eastAsia="Arial" w:hAnsiTheme="minorHAnsi" w:cstheme="minorHAnsi"/>
          <w:sz w:val="22"/>
          <w:szCs w:val="22"/>
        </w:rPr>
        <w:t xml:space="preserve">ituent un source exploitable et </w:t>
      </w:r>
      <w:r w:rsidRPr="00F440B0">
        <w:rPr>
          <w:rFonts w:asciiTheme="minorHAnsi" w:eastAsia="Arial" w:hAnsiTheme="minorHAnsi" w:cstheme="minorHAnsi"/>
          <w:sz w:val="22"/>
          <w:szCs w:val="22"/>
        </w:rPr>
        <w:t>renouvelable de taxol</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EX de feuilles de variétés T. X media(0,06 %) issue de </w:t>
      </w:r>
      <w:r w:rsidRPr="005A4B0A">
        <w:rPr>
          <w:rFonts w:asciiTheme="minorHAnsi" w:eastAsia="Arial" w:hAnsiTheme="minorHAnsi" w:cstheme="minorHAnsi"/>
          <w:i/>
          <w:iCs/>
          <w:color w:val="003300"/>
          <w:sz w:val="22"/>
          <w:szCs w:val="22"/>
        </w:rPr>
        <w:t>T brevifolia</w:t>
      </w:r>
      <w:r w:rsidRPr="00F440B0">
        <w:rPr>
          <w:rFonts w:asciiTheme="minorHAnsi" w:eastAsia="Arial" w:hAnsiTheme="minorHAnsi" w:cstheme="minorHAnsi"/>
          <w:sz w:val="22"/>
          <w:szCs w:val="22"/>
        </w:rPr>
        <w:t xml:space="preserve"> et </w:t>
      </w:r>
      <w:r w:rsidRPr="005A4B0A">
        <w:rPr>
          <w:rFonts w:asciiTheme="minorHAnsi" w:eastAsia="Arial" w:hAnsiTheme="minorHAnsi" w:cstheme="minorHAnsi"/>
          <w:i/>
          <w:iCs/>
          <w:color w:val="003300"/>
          <w:sz w:val="22"/>
          <w:szCs w:val="22"/>
        </w:rPr>
        <w:t>T. cuspidata</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-Taxol : préparé par hémisynthèse à partir d’analogues structuraux tels la désacétyl baccatine III présente à 0,02-0,1 % dans les feuilles de T. Baccata =matière première renouvelable</w:t>
      </w:r>
    </w:p>
    <w:p w:rsidR="004B69C8" w:rsidRPr="00F440B0" w:rsidRDefault="004B69C8" w:rsidP="005A4B0A">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-travaux d’hémisynthèse d’un analogue structural : </w:t>
      </w:r>
      <w:r w:rsidR="005A4B0A" w:rsidRPr="005A4B0A">
        <w:rPr>
          <w:rFonts w:asciiTheme="minorHAnsi" w:eastAsia="Arial" w:hAnsiTheme="minorHAnsi" w:cstheme="minorHAnsi"/>
          <w:b/>
          <w:bCs/>
          <w:sz w:val="22"/>
          <w:szCs w:val="22"/>
        </w:rPr>
        <w:t>D</w:t>
      </w:r>
      <w:r w:rsidRPr="005A4B0A">
        <w:rPr>
          <w:rFonts w:asciiTheme="minorHAnsi" w:eastAsia="Arial" w:hAnsiTheme="minorHAnsi" w:cstheme="minorHAnsi"/>
          <w:b/>
          <w:bCs/>
          <w:sz w:val="22"/>
          <w:szCs w:val="22"/>
        </w:rPr>
        <w:t>océtaxel</w:t>
      </w:r>
      <w:r w:rsidRPr="00F440B0">
        <w:rPr>
          <w:rFonts w:asciiTheme="minorHAnsi" w:eastAsia="Arial" w:hAnsiTheme="minorHAnsi" w:cstheme="minorHAnsi"/>
          <w:sz w:val="22"/>
          <w:szCs w:val="22"/>
        </w:rPr>
        <w:t xml:space="preserve"> DCI (</w:t>
      </w:r>
      <w:r w:rsidRPr="005A4B0A">
        <w:rPr>
          <w:rFonts w:asciiTheme="minorHAnsi" w:eastAsia="Arial" w:hAnsiTheme="minorHAnsi" w:cstheme="minorHAnsi"/>
          <w:b/>
          <w:color w:val="E36C0A" w:themeColor="accent6" w:themeShade="BF"/>
          <w:sz w:val="22"/>
          <w:szCs w:val="22"/>
        </w:rPr>
        <w:t>TAXOTERE</w:t>
      </w:r>
      <w:r w:rsidRPr="005A4B0A">
        <w:rPr>
          <w:rFonts w:asciiTheme="minorHAnsi" w:eastAsia="Times New Roman" w:hAnsiTheme="minorHAnsi" w:cstheme="minorHAnsi"/>
          <w:b/>
          <w:color w:val="E36C0A" w:themeColor="accent6" w:themeShade="BF"/>
          <w:sz w:val="22"/>
          <w:szCs w:val="22"/>
        </w:rPr>
        <w:t>®</w:t>
      </w:r>
      <w:r w:rsidRPr="005A4B0A">
        <w:rPr>
          <w:rFonts w:asciiTheme="minorHAnsi" w:eastAsia="Arial" w:hAnsiTheme="minorHAnsi" w:cstheme="minorHAnsi"/>
          <w:color w:val="E36C0A" w:themeColor="accent6" w:themeShade="BF"/>
          <w:sz w:val="22"/>
          <w:szCs w:val="22"/>
        </w:rPr>
        <w:t>)</w:t>
      </w:r>
      <w:r w:rsidRPr="00F440B0">
        <w:rPr>
          <w:rFonts w:asciiTheme="minorHAnsi" w:eastAsia="Arial" w:hAnsiTheme="minorHAnsi" w:cstheme="minorHAnsi"/>
          <w:sz w:val="22"/>
          <w:szCs w:val="22"/>
        </w:rPr>
        <w:t xml:space="preserve"> a partir de désacétyl baccatine III</w:t>
      </w:r>
    </w:p>
    <w:p w:rsidR="004B69C8" w:rsidRPr="00F440B0" w:rsidRDefault="004B69C8" w:rsidP="004B69C8">
      <w:pPr>
        <w:rPr>
          <w:rFonts w:asciiTheme="minorHAnsi" w:eastAsia="Times New Roman" w:hAnsiTheme="minorHAnsi" w:cstheme="minorHAnsi"/>
          <w:sz w:val="22"/>
          <w:szCs w:val="22"/>
        </w:rPr>
      </w:pPr>
      <w:r w:rsidRPr="00F440B0">
        <w:rPr>
          <w:rFonts w:asciiTheme="minorHAnsi" w:eastAsia="Times New Roman" w:hAnsiTheme="minorHAnsi" w:cstheme="minorHAnsi"/>
          <w:sz w:val="22"/>
          <w:szCs w:val="22"/>
        </w:rPr>
        <w:t>Autres analogues structuraux commercialisés:</w:t>
      </w:r>
      <w:r w:rsidRPr="005A4B0A">
        <w:rPr>
          <w:rFonts w:asciiTheme="minorHAnsi" w:eastAsia="Times New Roman" w:hAnsiTheme="minorHAnsi" w:cstheme="minorHAnsi"/>
          <w:b/>
          <w:bCs/>
          <w:sz w:val="22"/>
          <w:szCs w:val="22"/>
        </w:rPr>
        <w:t xml:space="preserve"> Cabazitaxel</w:t>
      </w:r>
      <w:r w:rsidRPr="00F440B0">
        <w:rPr>
          <w:rFonts w:asciiTheme="minorHAnsi" w:eastAsia="Times New Roman" w:hAnsiTheme="minorHAnsi" w:cstheme="minorHAnsi"/>
          <w:sz w:val="22"/>
          <w:szCs w:val="22"/>
        </w:rPr>
        <w:t xml:space="preserve"> (commercialisé en 2011)</w:t>
      </w:r>
    </w:p>
    <w:p w:rsidR="004B69C8" w:rsidRDefault="004B69C8" w:rsidP="004B69C8">
      <w:pPr>
        <w:rPr>
          <w:rFonts w:asciiTheme="minorHAnsi" w:eastAsia="Times New Roman" w:hAnsiTheme="minorHAnsi" w:cstheme="minorHAnsi"/>
          <w:sz w:val="22"/>
          <w:szCs w:val="22"/>
        </w:rPr>
      </w:pPr>
    </w:p>
    <w:p w:rsidR="00BF737B" w:rsidRDefault="00BF737B" w:rsidP="004B69C8">
      <w:pPr>
        <w:rPr>
          <w:rFonts w:asciiTheme="minorHAnsi" w:eastAsia="Times New Roman" w:hAnsiTheme="minorHAnsi" w:cstheme="minorHAnsi"/>
          <w:sz w:val="22"/>
          <w:szCs w:val="22"/>
        </w:rPr>
      </w:pPr>
    </w:p>
    <w:p w:rsidR="00BF737B" w:rsidRPr="00F440B0" w:rsidRDefault="00BF737B" w:rsidP="004B69C8">
      <w:pPr>
        <w:rPr>
          <w:rFonts w:asciiTheme="minorHAnsi" w:eastAsia="Times New Roman" w:hAnsiTheme="minorHAnsi" w:cstheme="minorHAnsi"/>
          <w:sz w:val="22"/>
          <w:szCs w:val="22"/>
        </w:rPr>
      </w:pPr>
    </w:p>
    <w:p w:rsidR="004B69C8" w:rsidRPr="00F440B0" w:rsidRDefault="004B69C8" w:rsidP="00F440B0">
      <w:pPr>
        <w:pStyle w:val="Titre1"/>
        <w:rPr>
          <w:rFonts w:eastAsia="Arial"/>
        </w:rPr>
      </w:pPr>
      <w:r w:rsidRPr="00F440B0">
        <w:rPr>
          <w:rFonts w:eastAsia="Arial"/>
        </w:rPr>
        <w:t>5. ACTION PHARMACOLOGIQUE ET EMPLOI</w:t>
      </w:r>
    </w:p>
    <w:p w:rsidR="005A4B0A" w:rsidRDefault="005A4B0A" w:rsidP="004B69C8">
      <w:pPr>
        <w:rPr>
          <w:rFonts w:asciiTheme="minorHAnsi" w:eastAsia="Arial" w:hAnsiTheme="minorHAnsi" w:cstheme="minorHAnsi"/>
          <w:b/>
          <w:color w:val="FF0000"/>
          <w:sz w:val="22"/>
          <w:szCs w:val="22"/>
        </w:rPr>
      </w:pPr>
    </w:p>
    <w:p w:rsidR="004B69C8" w:rsidRPr="005A4B0A" w:rsidRDefault="004B69C8" w:rsidP="004B69C8">
      <w:pPr>
        <w:rPr>
          <w:rFonts w:asciiTheme="minorHAnsi" w:eastAsia="Arial" w:hAnsiTheme="minorHAnsi" w:cstheme="minorHAnsi"/>
          <w:b/>
          <w:color w:val="006600"/>
          <w:sz w:val="24"/>
          <w:szCs w:val="24"/>
          <w:u w:val="single"/>
        </w:rPr>
      </w:pPr>
      <w:r w:rsidRPr="005A4B0A">
        <w:rPr>
          <w:rFonts w:asciiTheme="minorHAnsi" w:eastAsia="Arial" w:hAnsiTheme="minorHAnsi" w:cstheme="minorHAnsi"/>
          <w:b/>
          <w:color w:val="006600"/>
          <w:sz w:val="24"/>
          <w:szCs w:val="24"/>
          <w:u w:val="single"/>
        </w:rPr>
        <w:t>A-PACLITAXEL(TAXOL</w:t>
      </w:r>
      <w:r w:rsidRPr="005A4B0A">
        <w:rPr>
          <w:rFonts w:asciiTheme="minorHAnsi" w:eastAsia="Times New Roman" w:hAnsiTheme="minorHAnsi" w:cstheme="minorHAnsi"/>
          <w:b/>
          <w:color w:val="006600"/>
          <w:sz w:val="24"/>
          <w:szCs w:val="24"/>
          <w:u w:val="single"/>
        </w:rPr>
        <w:t>®</w:t>
      </w:r>
      <w:r w:rsidRPr="005A4B0A">
        <w:rPr>
          <w:rFonts w:asciiTheme="minorHAnsi" w:eastAsia="Arial" w:hAnsiTheme="minorHAnsi" w:cstheme="minorHAnsi"/>
          <w:b/>
          <w:color w:val="006600"/>
          <w:sz w:val="24"/>
          <w:szCs w:val="24"/>
          <w:u w:val="single"/>
        </w:rPr>
        <w:t>)</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1. ACTION PHARMACOLOGIQUE</w:t>
      </w:r>
    </w:p>
    <w:p w:rsidR="004B69C8" w:rsidRPr="00F440B0" w:rsidRDefault="004B69C8" w:rsidP="005A4B0A">
      <w:pPr>
        <w:rPr>
          <w:rFonts w:asciiTheme="minorHAnsi" w:eastAsia="Arial" w:hAnsiTheme="minorHAnsi" w:cstheme="minorHAnsi"/>
          <w:sz w:val="22"/>
          <w:szCs w:val="22"/>
        </w:rPr>
      </w:pPr>
      <w:r w:rsidRPr="00F440B0">
        <w:rPr>
          <w:rFonts w:asciiTheme="minorHAnsi" w:eastAsia="Arial" w:hAnsiTheme="minorHAnsi" w:cstheme="minorHAnsi"/>
          <w:color w:val="404040"/>
          <w:sz w:val="22"/>
          <w:szCs w:val="22"/>
        </w:rPr>
        <w:t xml:space="preserve">Paclitaxel(DCI): </w:t>
      </w:r>
      <w:r w:rsidR="005A4B0A">
        <w:rPr>
          <w:rFonts w:asciiTheme="minorHAnsi" w:eastAsia="Arial" w:hAnsiTheme="minorHAnsi" w:cstheme="minorHAnsi"/>
          <w:color w:val="404040"/>
          <w:sz w:val="22"/>
          <w:szCs w:val="22"/>
        </w:rPr>
        <w:t xml:space="preserve"> </w:t>
      </w:r>
      <w:r w:rsidRPr="00F440B0">
        <w:rPr>
          <w:rFonts w:asciiTheme="minorHAnsi" w:eastAsia="Arial" w:hAnsiTheme="minorHAnsi" w:cstheme="minorHAnsi"/>
          <w:color w:val="404040"/>
          <w:sz w:val="22"/>
          <w:szCs w:val="22"/>
        </w:rPr>
        <w:t xml:space="preserve">poison(stabilisant) du </w:t>
      </w:r>
      <w:r w:rsidR="005A4B0A" w:rsidRPr="00F440B0">
        <w:rPr>
          <w:rFonts w:asciiTheme="minorHAnsi" w:eastAsia="Arial" w:hAnsiTheme="minorHAnsi" w:cstheme="minorHAnsi"/>
          <w:color w:val="404040"/>
          <w:sz w:val="22"/>
          <w:szCs w:val="22"/>
        </w:rPr>
        <w:t>fuseau, favorise</w:t>
      </w:r>
      <w:r w:rsidRPr="00F440B0">
        <w:rPr>
          <w:rFonts w:asciiTheme="minorHAnsi" w:eastAsia="Arial" w:hAnsiTheme="minorHAnsi" w:cstheme="minorHAnsi"/>
          <w:color w:val="404040"/>
          <w:sz w:val="22"/>
          <w:szCs w:val="22"/>
        </w:rPr>
        <w:t xml:space="preserve"> l’assemblage des dimères de tubuline en microtubules qu’il stabilise en inhibant leur dépolymérisation =&gt;blocage en phase mitose des cellules au cours de la</w:t>
      </w:r>
      <w:r w:rsidR="005A4B0A">
        <w:rPr>
          <w:rFonts w:asciiTheme="minorHAnsi" w:eastAsia="Arial" w:hAnsiTheme="minorHAnsi" w:cstheme="minorHAnsi"/>
          <w:sz w:val="22"/>
          <w:szCs w:val="22"/>
        </w:rPr>
        <w:t xml:space="preserve"> </w:t>
      </w:r>
      <w:r w:rsidRPr="00F440B0">
        <w:rPr>
          <w:rFonts w:asciiTheme="minorHAnsi" w:eastAsia="Arial" w:hAnsiTheme="minorHAnsi" w:cstheme="minorHAnsi"/>
          <w:sz w:val="22"/>
          <w:szCs w:val="22"/>
        </w:rPr>
        <w:t>division.</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2. INDICATIONS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des carcinomes métastatiques de l’ovaire après échec du traitement classique a base de sels de platine(</w:t>
      </w:r>
      <w:r w:rsidRPr="005A4B0A">
        <w:rPr>
          <w:rFonts w:asciiTheme="minorHAnsi" w:eastAsia="Arial" w:hAnsiTheme="minorHAnsi" w:cstheme="minorHAnsi"/>
          <w:b/>
          <w:bCs/>
          <w:sz w:val="22"/>
          <w:szCs w:val="22"/>
        </w:rPr>
        <w:t>cis platine</w:t>
      </w:r>
      <w:r w:rsidRPr="00F440B0">
        <w:rPr>
          <w:rFonts w:asciiTheme="minorHAnsi" w:eastAsia="Arial" w:hAnsiTheme="minorHAnsi" w:cstheme="minorHAnsi"/>
          <w:sz w:val="22"/>
          <w:szCs w:val="22"/>
        </w:rPr>
        <w:t>)</w:t>
      </w:r>
    </w:p>
    <w:p w:rsidR="004B69C8" w:rsidRPr="00F440B0" w:rsidRDefault="004B69C8" w:rsidP="005A4B0A">
      <w:pPr>
        <w:rPr>
          <w:rFonts w:asciiTheme="minorHAnsi" w:eastAsia="Times New Roman" w:hAnsiTheme="minorHAnsi" w:cstheme="minorHAnsi"/>
          <w:sz w:val="22"/>
          <w:szCs w:val="22"/>
        </w:rPr>
      </w:pPr>
      <w:r w:rsidRPr="00F440B0">
        <w:rPr>
          <w:rFonts w:asciiTheme="minorHAnsi" w:eastAsia="Times New Roman" w:hAnsiTheme="minorHAnsi" w:cstheme="minorHAnsi"/>
          <w:sz w:val="22"/>
          <w:szCs w:val="22"/>
        </w:rPr>
        <w:t>-traitement en 2ème intention du cancer de l'ovaire chez des patients présentant un carcinome métastasique de l'ovaire après</w:t>
      </w:r>
      <w:r w:rsidR="005A4B0A">
        <w:rPr>
          <w:rFonts w:asciiTheme="minorHAnsi" w:eastAsia="Times New Roman" w:hAnsiTheme="minorHAnsi" w:cstheme="minorHAnsi"/>
          <w:sz w:val="22"/>
          <w:szCs w:val="22"/>
        </w:rPr>
        <w:t xml:space="preserve"> </w:t>
      </w:r>
      <w:r w:rsidR="005A4B0A" w:rsidRPr="00F440B0">
        <w:rPr>
          <w:rFonts w:asciiTheme="minorHAnsi" w:eastAsia="Times New Roman" w:hAnsiTheme="minorHAnsi" w:cstheme="minorHAnsi"/>
          <w:sz w:val="22"/>
          <w:szCs w:val="22"/>
        </w:rPr>
        <w:t>échec</w:t>
      </w:r>
      <w:r w:rsidRPr="00F440B0">
        <w:rPr>
          <w:rFonts w:asciiTheme="minorHAnsi" w:eastAsia="Times New Roman" w:hAnsiTheme="minorHAnsi" w:cstheme="minorHAnsi"/>
          <w:sz w:val="22"/>
          <w:szCs w:val="22"/>
        </w:rPr>
        <w:t xml:space="preserve"> du traitement classique à base de sels de platine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traitement de la progression métastatique du cancer du sein après échec d’un traitement antérieur ayant comporté une anthracycline.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-Cancer du poumon non a petites cellules en association avec le cis platine.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des patients au stade avancé du sarcome de kaposi lié au SIDA et après échec d'un traitement antérieur par des anthracyclines liposomales.</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3. POSOLOGIE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135-175 mg/m2 selon l’indication, en perfusion IV en 3 heures, toutes les 3</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semaines.</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lastRenderedPageBreak/>
        <w:t>4. CONTRE-INDICATIONS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-antécédents de réaction d’hypersensibilité sévère au paclitaxel</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-PN neutrophiles &lt; 1500mm3</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-grossesse et allaitement</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5. TOXICITE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-aplasie médullaire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-Neutropénie sévère (réversible),anémie et thrombopénie sévères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-neuropathie périphérique sensitive ,alopécie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-Troubles digestifs : nausée-vomissement ,diarrhée et anorexie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(effets du solvant :huile de ricin hydrogénée poluoxyéthylénée)</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6. PRECAUTIONS D’EMPLOI</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-administration sous contrôle médical stricte (expérience des </w:t>
      </w:r>
      <w:r w:rsidR="005A4B0A" w:rsidRPr="00F440B0">
        <w:rPr>
          <w:rFonts w:asciiTheme="minorHAnsi" w:eastAsia="Arial" w:hAnsiTheme="minorHAnsi" w:cstheme="minorHAnsi"/>
          <w:sz w:val="22"/>
          <w:szCs w:val="22"/>
        </w:rPr>
        <w:t>anticancéreux</w:t>
      </w:r>
      <w:r w:rsidRPr="00F440B0">
        <w:rPr>
          <w:rFonts w:asciiTheme="minorHAnsi" w:eastAsia="Arial" w:hAnsiTheme="minorHAnsi" w:cstheme="minorHAnsi"/>
          <w:sz w:val="22"/>
          <w:szCs w:val="22"/>
        </w:rPr>
        <w:t xml:space="preserve"> et disposant du matériel pour traiter une réaction anaphylactique sévère)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-surveillance hématologique et cardiologique régulière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-prémédication indispensable : corticoïde + Anti-histaminique H1 et H2</w:t>
      </w:r>
    </w:p>
    <w:p w:rsidR="004B69C8" w:rsidRPr="00F440B0" w:rsidRDefault="004B69C8" w:rsidP="004B69C8">
      <w:pPr>
        <w:rPr>
          <w:rFonts w:asciiTheme="minorHAnsi" w:eastAsia="Times New Roman" w:hAnsiTheme="minorHAnsi" w:cstheme="minorHAnsi"/>
          <w:sz w:val="22"/>
          <w:szCs w:val="22"/>
        </w:rPr>
      </w:pPr>
    </w:p>
    <w:p w:rsidR="004B69C8" w:rsidRPr="005A4B0A" w:rsidRDefault="004B69C8" w:rsidP="004B69C8">
      <w:pPr>
        <w:rPr>
          <w:rFonts w:asciiTheme="minorHAnsi" w:eastAsia="Arial" w:hAnsiTheme="minorHAnsi" w:cstheme="minorHAnsi"/>
          <w:b/>
          <w:bCs/>
          <w:color w:val="006600"/>
          <w:sz w:val="24"/>
          <w:szCs w:val="24"/>
          <w:u w:val="single"/>
        </w:rPr>
      </w:pPr>
      <w:r w:rsidRPr="005A4B0A">
        <w:rPr>
          <w:rFonts w:asciiTheme="minorHAnsi" w:eastAsia="Arial" w:hAnsiTheme="minorHAnsi" w:cstheme="minorHAnsi"/>
          <w:b/>
          <w:bCs/>
          <w:color w:val="006600"/>
          <w:sz w:val="24"/>
          <w:szCs w:val="24"/>
          <w:u w:val="single"/>
        </w:rPr>
        <w:t>B-DOCETAXEL(TAXOTERE</w:t>
      </w:r>
      <w:r w:rsidRPr="005A4B0A">
        <w:rPr>
          <w:rFonts w:asciiTheme="minorHAnsi" w:eastAsia="Times New Roman" w:hAnsiTheme="minorHAnsi" w:cstheme="minorHAnsi"/>
          <w:b/>
          <w:bCs/>
          <w:color w:val="006600"/>
          <w:sz w:val="24"/>
          <w:szCs w:val="24"/>
          <w:u w:val="single"/>
        </w:rPr>
        <w:t>®</w:t>
      </w:r>
      <w:r w:rsidRPr="005A4B0A">
        <w:rPr>
          <w:rFonts w:asciiTheme="minorHAnsi" w:eastAsia="Arial" w:hAnsiTheme="minorHAnsi" w:cstheme="minorHAnsi"/>
          <w:b/>
          <w:bCs/>
          <w:color w:val="006600"/>
          <w:sz w:val="24"/>
          <w:szCs w:val="24"/>
          <w:u w:val="single"/>
        </w:rPr>
        <w:t>)</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1. ACTION PHARMACOLOGIQUE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En se fixant sur les microtubules il inhibe leur dépolymérisation et empêche leur réorganisation, nécessaire au déroulement de l’</w:t>
      </w:r>
      <w:r w:rsidR="005A4B0A" w:rsidRPr="00F440B0">
        <w:rPr>
          <w:rFonts w:asciiTheme="minorHAnsi" w:eastAsia="Arial" w:hAnsiTheme="minorHAnsi" w:cstheme="minorHAnsi"/>
          <w:sz w:val="22"/>
          <w:szCs w:val="22"/>
        </w:rPr>
        <w:t>interphase</w:t>
      </w:r>
      <w:r w:rsidRPr="00F440B0">
        <w:rPr>
          <w:rFonts w:asciiTheme="minorHAnsi" w:eastAsia="Arial" w:hAnsiTheme="minorHAnsi" w:cstheme="minorHAnsi"/>
          <w:sz w:val="22"/>
          <w:szCs w:val="22"/>
        </w:rPr>
        <w:t xml:space="preserve"> et de la mitose.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La résistance au docétaxel est associée a l’expression du gène de résistance multi-drogue ,à la production de la glycoprotéine P et aux altérations de la tubuline .</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2. INDICATIONS</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du cancer du sein localement avancé ou métastasique résistant en association à la doscorubicine en 1ère intention ou en monotherapie après échec d'une chimiothérapie ayant comporté une anthracycline ou un agent alkylant</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-Traitement en association trastuzumab, au cancer du sein métastasique avec sur expression tumorale du HER 2.</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 xml:space="preserve">-Traitement adjuvant, en association à la doscorubicine et au cyclophosphamide, du cancer du sein opérable, </w:t>
      </w:r>
      <w:r w:rsidR="005A4B0A" w:rsidRPr="00F440B0">
        <w:rPr>
          <w:rFonts w:asciiTheme="minorHAnsi" w:eastAsia="Arial" w:hAnsiTheme="minorHAnsi" w:cstheme="minorHAnsi"/>
          <w:sz w:val="22"/>
          <w:szCs w:val="22"/>
        </w:rPr>
        <w:t>notamment</w:t>
      </w:r>
      <w:r w:rsidRPr="00F440B0">
        <w:rPr>
          <w:rFonts w:asciiTheme="minorHAnsi" w:eastAsia="Arial" w:hAnsiTheme="minorHAnsi" w:cstheme="minorHAnsi"/>
          <w:sz w:val="22"/>
          <w:szCs w:val="22"/>
        </w:rPr>
        <w:t xml:space="preserve"> chez les patients présentant un envahissement ganglionnaire.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-Cancer bronchique non a petites cellules après échec d’une chimiothérapie antérieure.</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3. POSOLOGIE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100 mg/m2 en perfusion IV en 3 heures toutes les 3 semaines après pré-médication appropriée.</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4. TOXICITE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-Aplasie médullaire: Neutropénie sévère, thrombopénie et lymphopénie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-Réaction d’hypersensibilité sévère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-Rétention hyposodée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lastRenderedPageBreak/>
        <w:t>-Eruption cutanée, fièvre , douleur lombaire.</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-alopécie asthénie nausée et vomissement :sont pratiquement toujours présents</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5. PRECAUTION D’EMPLOI</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-Insuffisance  cardiaque, respiratoire et hépatocellulaire</w:t>
      </w:r>
    </w:p>
    <w:p w:rsidR="004B69C8" w:rsidRPr="005A4B0A" w:rsidRDefault="004B69C8" w:rsidP="004B69C8">
      <w:pPr>
        <w:rPr>
          <w:rFonts w:asciiTheme="minorHAnsi" w:eastAsia="Arial" w:hAnsiTheme="minorHAnsi" w:cstheme="minorHAnsi"/>
          <w:b/>
          <w:bCs/>
          <w:color w:val="0070C0"/>
          <w:sz w:val="22"/>
          <w:szCs w:val="22"/>
        </w:rPr>
      </w:pPr>
      <w:r w:rsidRPr="005A4B0A">
        <w:rPr>
          <w:rFonts w:asciiTheme="minorHAnsi" w:eastAsia="Arial" w:hAnsiTheme="minorHAnsi" w:cstheme="minorHAnsi"/>
          <w:b/>
          <w:bCs/>
          <w:color w:val="0070C0"/>
          <w:sz w:val="22"/>
          <w:szCs w:val="22"/>
        </w:rPr>
        <w:t>6. TOXICITE DE L’IF</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Intoxication par les feuilles :</w:t>
      </w:r>
    </w:p>
    <w:p w:rsidR="004B69C8" w:rsidRPr="00F440B0" w:rsidRDefault="004B69C8" w:rsidP="004B69C8">
      <w:pPr>
        <w:rPr>
          <w:rFonts w:asciiTheme="minorHAnsi" w:eastAsia="Arial" w:hAnsiTheme="minorHAnsi" w:cstheme="minorHAnsi"/>
          <w:sz w:val="22"/>
          <w:szCs w:val="22"/>
        </w:rPr>
      </w:pPr>
      <w:r w:rsidRPr="00F440B0">
        <w:rPr>
          <w:rFonts w:asciiTheme="minorHAnsi" w:eastAsia="Arial" w:hAnsiTheme="minorHAnsi" w:cstheme="minorHAnsi"/>
          <w:sz w:val="22"/>
          <w:szCs w:val="22"/>
        </w:rPr>
        <w:t>-annoncée par des signes digestifs (nausée vomissements, douleurs abdominales) et neurologiques (somnolence et léthargie)</w:t>
      </w:r>
    </w:p>
    <w:p w:rsidR="00BF737B" w:rsidRPr="00F440B0" w:rsidRDefault="004B69C8" w:rsidP="00BF737B">
      <w:pPr>
        <w:rPr>
          <w:rFonts w:asciiTheme="minorHAnsi" w:eastAsia="Arial" w:hAnsiTheme="minorHAnsi" w:cstheme="minorHAnsi"/>
          <w:sz w:val="22"/>
          <w:szCs w:val="22"/>
        </w:rPr>
      </w:pPr>
      <w:r w:rsidRPr="00F440B0">
        <w:rPr>
          <w:rFonts w:asciiTheme="minorHAnsi" w:eastAsia="Arial" w:hAnsiTheme="minorHAnsi" w:cstheme="minorHAnsi"/>
          <w:sz w:val="22"/>
          <w:szCs w:val="22"/>
        </w:rPr>
        <w:t>-caractérisée par une hypotension et de troubles de rythme cardiaque : bradycardie à 25-30 pulsations/min une arythmie ventriculaire généralement fatale en absence d’intervention immédiate en services spécialisés(USIC)</w:t>
      </w:r>
    </w:p>
    <w:p w:rsidR="004B69C8" w:rsidRPr="00F440B0" w:rsidRDefault="004B69C8" w:rsidP="004B69C8">
      <w:pPr>
        <w:rPr>
          <w:rFonts w:asciiTheme="minorHAnsi" w:eastAsia="Arial" w:hAnsiTheme="minorHAnsi" w:cstheme="minorHAnsi"/>
          <w:i/>
          <w:sz w:val="22"/>
          <w:szCs w:val="22"/>
        </w:rPr>
      </w:pPr>
      <w:r w:rsidRPr="00BF737B">
        <w:rPr>
          <w:rFonts w:asciiTheme="minorHAnsi" w:eastAsia="Arial" w:hAnsiTheme="minorHAnsi" w:cstheme="minorHAnsi"/>
          <w:b/>
          <w:bCs/>
          <w:i/>
          <w:sz w:val="22"/>
          <w:szCs w:val="22"/>
        </w:rPr>
        <w:t>REMARQUE :</w:t>
      </w:r>
      <w:r w:rsidRPr="00F440B0">
        <w:rPr>
          <w:rFonts w:asciiTheme="minorHAnsi" w:eastAsia="Arial" w:hAnsiTheme="minorHAnsi" w:cstheme="minorHAnsi"/>
          <w:i/>
          <w:sz w:val="22"/>
          <w:szCs w:val="22"/>
        </w:rPr>
        <w:t xml:space="preserve"> pas de traitement spécifique sauf induction de vomissement .</w:t>
      </w:r>
    </w:p>
    <w:p w:rsidR="004B69C8" w:rsidRPr="00F440B0" w:rsidRDefault="004B69C8">
      <w:pPr>
        <w:rPr>
          <w:sz w:val="22"/>
          <w:szCs w:val="22"/>
        </w:rPr>
      </w:pPr>
    </w:p>
    <w:p w:rsidR="004B69C8" w:rsidRPr="00F440B0" w:rsidRDefault="004B69C8">
      <w:pPr>
        <w:rPr>
          <w:sz w:val="22"/>
          <w:szCs w:val="22"/>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4B69C8">
      <w:pPr>
        <w:rPr>
          <w:sz w:val="16"/>
          <w:szCs w:val="16"/>
        </w:rPr>
      </w:pPr>
    </w:p>
    <w:p w:rsidR="004B69C8" w:rsidRDefault="00AC7990">
      <w:pPr>
        <w:rPr>
          <w:sz w:val="16"/>
          <w:szCs w:val="16"/>
        </w:rPr>
      </w:pPr>
      <w:r>
        <w:rPr>
          <w:noProof/>
          <w:sz w:val="16"/>
          <w:szCs w:val="16"/>
        </w:rPr>
        <w:lastRenderedPageBreak/>
        <w:pict>
          <v:shape id="_x0000_s1030" type="#_x0000_t202" style="position:absolute;margin-left:123.15pt;margin-top:-19.35pt;width:558.75pt;height:61.5pt;z-index:251663360" strokeweight="1.5pt">
            <v:textbox>
              <w:txbxContent>
                <w:p w:rsidR="00AC7990" w:rsidRPr="00832FDC" w:rsidRDefault="00832FDC"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Pervenche de Madagascar:</w:t>
                  </w:r>
                  <w:r w:rsidRPr="00832FDC">
                    <w:rPr>
                      <w:rFonts w:asciiTheme="majorBidi" w:hAnsiTheme="majorBidi" w:cstheme="majorBidi"/>
                      <w:b/>
                      <w:bCs/>
                      <w:sz w:val="40"/>
                      <w:szCs w:val="40"/>
                    </w:rPr>
                    <w:t xml:space="preserve"> </w:t>
                  </w:r>
                  <w:r>
                    <w:rPr>
                      <w:rFonts w:asciiTheme="majorBidi" w:hAnsiTheme="majorBidi" w:cstheme="majorBidi"/>
                      <w:b/>
                      <w:bCs/>
                      <w:sz w:val="40"/>
                      <w:szCs w:val="40"/>
                    </w:rPr>
                    <w:t xml:space="preserve">  </w:t>
                  </w:r>
                  <w:r w:rsidR="00AC7990" w:rsidRPr="00832FDC">
                    <w:rPr>
                      <w:rFonts w:asciiTheme="majorBidi" w:hAnsiTheme="majorBidi" w:cstheme="majorBidi"/>
                      <w:b/>
                      <w:bCs/>
                      <w:color w:val="5F497A" w:themeColor="accent4" w:themeShade="BF"/>
                      <w:sz w:val="40"/>
                      <w:szCs w:val="40"/>
                    </w:rPr>
                    <w:t>CATHARANTHUS RPSEUS L.G.</w:t>
                  </w:r>
                </w:p>
                <w:p w:rsidR="00AC7990" w:rsidRPr="00832FDC" w:rsidRDefault="00AC7990"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Don(apocynaceae)</w:t>
                  </w:r>
                </w:p>
              </w:txbxContent>
            </v:textbox>
          </v:shape>
        </w:pict>
      </w:r>
    </w:p>
    <w:p w:rsidR="004B69C8" w:rsidRDefault="004B69C8">
      <w:pPr>
        <w:rPr>
          <w:sz w:val="16"/>
          <w:szCs w:val="16"/>
        </w:rPr>
      </w:pPr>
    </w:p>
    <w:p w:rsidR="004B69C8" w:rsidRDefault="004B69C8">
      <w:pPr>
        <w:rPr>
          <w:sz w:val="16"/>
          <w:szCs w:val="16"/>
        </w:rPr>
      </w:pPr>
    </w:p>
    <w:p w:rsidR="004B69C8" w:rsidRDefault="004B69C8">
      <w:pPr>
        <w:rPr>
          <w:sz w:val="16"/>
          <w:szCs w:val="16"/>
        </w:rPr>
      </w:pPr>
    </w:p>
    <w:p w:rsidR="00AC7990" w:rsidRDefault="00AC7990">
      <w:pPr>
        <w:rPr>
          <w:sz w:val="16"/>
          <w:szCs w:val="16"/>
        </w:rPr>
      </w:pPr>
    </w:p>
    <w:p w:rsidR="00AC7990" w:rsidRDefault="00AC7990">
      <w:pPr>
        <w:rPr>
          <w:sz w:val="16"/>
          <w:szCs w:val="16"/>
        </w:rPr>
      </w:pPr>
    </w:p>
    <w:p w:rsidR="004B69C8" w:rsidRDefault="004B69C8">
      <w:pPr>
        <w:rPr>
          <w:sz w:val="16"/>
          <w:szCs w:val="16"/>
        </w:rPr>
      </w:pPr>
    </w:p>
    <w:p w:rsidR="009B286E" w:rsidRPr="00985420" w:rsidRDefault="009B286E" w:rsidP="00D80F35">
      <w:pPr>
        <w:rPr>
          <w:rFonts w:asciiTheme="minorHAnsi" w:eastAsia="Arial" w:hAnsiTheme="minorHAnsi" w:cstheme="minorHAnsi"/>
          <w:b/>
          <w:i/>
          <w:color w:val="404040"/>
          <w:sz w:val="22"/>
          <w:szCs w:val="22"/>
        </w:rPr>
      </w:pPr>
      <w:r w:rsidRPr="00985420">
        <w:rPr>
          <w:rFonts w:asciiTheme="minorHAnsi" w:eastAsia="Arial" w:hAnsiTheme="minorHAnsi" w:cstheme="minorHAnsi"/>
          <w:b/>
          <w:iCs/>
          <w:color w:val="984806" w:themeColor="accent6" w:themeShade="80"/>
          <w:sz w:val="22"/>
          <w:szCs w:val="22"/>
        </w:rPr>
        <w:t>Drogue :</w:t>
      </w:r>
      <w:r w:rsidRPr="00985420">
        <w:rPr>
          <w:rFonts w:asciiTheme="minorHAnsi" w:eastAsia="Arial" w:hAnsiTheme="minorHAnsi" w:cstheme="minorHAnsi"/>
          <w:b/>
          <w:i/>
          <w:color w:val="404040"/>
          <w:sz w:val="22"/>
          <w:szCs w:val="22"/>
        </w:rPr>
        <w:t xml:space="preserve"> </w:t>
      </w:r>
      <w:r w:rsidRPr="00FE7123">
        <w:rPr>
          <w:rFonts w:asciiTheme="minorHAnsi" w:eastAsia="Arial" w:hAnsiTheme="minorHAnsi" w:cstheme="minorHAnsi"/>
          <w:b/>
          <w:i/>
          <w:color w:val="000000" w:themeColor="text1"/>
          <w:sz w:val="22"/>
          <w:szCs w:val="22"/>
        </w:rPr>
        <w:t xml:space="preserve">Parties aériennes </w:t>
      </w:r>
    </w:p>
    <w:p w:rsidR="009B286E" w:rsidRPr="00985420" w:rsidRDefault="009B286E" w:rsidP="009B286E">
      <w:pPr>
        <w:rPr>
          <w:rFonts w:asciiTheme="minorHAnsi" w:eastAsia="Times New Roman" w:hAnsiTheme="minorHAnsi" w:cstheme="minorHAnsi"/>
          <w:sz w:val="22"/>
          <w:szCs w:val="22"/>
        </w:rPr>
      </w:pPr>
    </w:p>
    <w:p w:rsidR="009B286E" w:rsidRPr="00985420" w:rsidRDefault="009B286E" w:rsidP="00985420">
      <w:pPr>
        <w:pStyle w:val="Titre1"/>
        <w:rPr>
          <w:rFonts w:eastAsia="Arial"/>
        </w:rPr>
      </w:pPr>
      <w:r w:rsidRPr="00985420">
        <w:rPr>
          <w:rFonts w:eastAsia="Arial"/>
        </w:rPr>
        <w:t>1. CARACTERES BOTANIQUES DE LA PLANTE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C’est un </w:t>
      </w:r>
      <w:r w:rsidR="00A63E93" w:rsidRPr="00A63E93">
        <w:rPr>
          <w:rFonts w:asciiTheme="minorHAnsi" w:eastAsia="Arial" w:hAnsiTheme="minorHAnsi" w:cstheme="minorHAnsi"/>
          <w:sz w:val="22"/>
          <w:szCs w:val="22"/>
        </w:rPr>
        <w:t>sous-arbrisseau</w:t>
      </w:r>
      <w:r w:rsidRPr="00A63E93">
        <w:rPr>
          <w:rFonts w:asciiTheme="minorHAnsi" w:eastAsia="Arial" w:hAnsiTheme="minorHAnsi" w:cstheme="minorHAnsi"/>
          <w:sz w:val="22"/>
          <w:szCs w:val="22"/>
        </w:rPr>
        <w:t xml:space="preserve"> à tiges ligneuses à la base à feuilles opposées et limbe ovale arrondi au </w:t>
      </w:r>
      <w:r w:rsidR="00A63E93" w:rsidRPr="00A63E93">
        <w:rPr>
          <w:rFonts w:asciiTheme="minorHAnsi" w:eastAsia="Arial" w:hAnsiTheme="minorHAnsi" w:cstheme="minorHAnsi"/>
          <w:sz w:val="22"/>
          <w:szCs w:val="22"/>
        </w:rPr>
        <w:t>sommet, fleur</w:t>
      </w:r>
      <w:r w:rsidRPr="00A63E93">
        <w:rPr>
          <w:rFonts w:asciiTheme="minorHAnsi" w:eastAsia="Arial" w:hAnsiTheme="minorHAnsi" w:cstheme="minorHAnsi"/>
          <w:sz w:val="22"/>
          <w:szCs w:val="22"/>
        </w:rPr>
        <w:t xml:space="preserve"> type 5 roses pourpres ou blanches</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b/>
          <w:sz w:val="22"/>
          <w:szCs w:val="22"/>
        </w:rPr>
        <w:t xml:space="preserve">Origine </w:t>
      </w:r>
      <w:r w:rsidRPr="00A63E93">
        <w:rPr>
          <w:rFonts w:asciiTheme="minorHAnsi" w:eastAsia="Arial" w:hAnsiTheme="minorHAnsi" w:cstheme="minorHAnsi"/>
          <w:sz w:val="22"/>
          <w:szCs w:val="22"/>
        </w:rPr>
        <w:t>:Madagascar et répandue dans toutes les régions intertropicales du</w:t>
      </w:r>
      <w:r w:rsidRPr="00A63E93">
        <w:rPr>
          <w:rFonts w:asciiTheme="minorHAnsi" w:eastAsia="Arial" w:hAnsiTheme="minorHAnsi" w:cstheme="minorHAnsi"/>
          <w:b/>
          <w:sz w:val="22"/>
          <w:szCs w:val="22"/>
        </w:rPr>
        <w:t xml:space="preserve"> </w:t>
      </w:r>
      <w:r w:rsidRPr="00A63E93">
        <w:rPr>
          <w:rFonts w:asciiTheme="minorHAnsi" w:eastAsia="Arial" w:hAnsiTheme="minorHAnsi" w:cstheme="minorHAnsi"/>
          <w:sz w:val="22"/>
          <w:szCs w:val="22"/>
        </w:rPr>
        <w:t>globe.</w:t>
      </w:r>
    </w:p>
    <w:p w:rsidR="009B286E" w:rsidRPr="00A63E93" w:rsidRDefault="009B286E" w:rsidP="009B286E">
      <w:pPr>
        <w:rPr>
          <w:rFonts w:asciiTheme="minorHAnsi" w:eastAsia="Times New Roman" w:hAnsiTheme="minorHAnsi" w:cstheme="minorHAnsi"/>
          <w:sz w:val="22"/>
          <w:szCs w:val="22"/>
        </w:rPr>
      </w:pPr>
    </w:p>
    <w:p w:rsidR="009B286E" w:rsidRPr="00985420" w:rsidRDefault="009B286E" w:rsidP="00A63E93">
      <w:pPr>
        <w:pStyle w:val="Titre1"/>
        <w:rPr>
          <w:rFonts w:eastAsia="Arial"/>
        </w:rPr>
      </w:pPr>
      <w:r w:rsidRPr="00985420">
        <w:rPr>
          <w:rFonts w:eastAsia="Arial"/>
        </w:rPr>
        <w:t>2. COMPOSITION CHIMIQUE DE LA DROGUE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w:t>
      </w:r>
      <w:r w:rsidRPr="00A63E93">
        <w:rPr>
          <w:rFonts w:asciiTheme="minorHAnsi" w:eastAsia="Arial" w:hAnsiTheme="minorHAnsi" w:cstheme="minorHAnsi"/>
          <w:b/>
          <w:sz w:val="22"/>
          <w:szCs w:val="22"/>
        </w:rPr>
        <w:t>AT</w:t>
      </w:r>
      <w:r w:rsidRPr="00A63E93">
        <w:rPr>
          <w:rFonts w:asciiTheme="minorHAnsi" w:eastAsia="Arial" w:hAnsiTheme="minorHAnsi" w:cstheme="minorHAnsi"/>
          <w:sz w:val="22"/>
          <w:szCs w:val="22"/>
        </w:rPr>
        <w:t xml:space="preserve"> : 0,2 et 1% : mélange complexe de plus de 90 alcaloïdes différents</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w:t>
      </w:r>
      <w:r w:rsidRPr="00A63E93">
        <w:rPr>
          <w:rFonts w:asciiTheme="minorHAnsi" w:eastAsia="Arial" w:hAnsiTheme="minorHAnsi" w:cstheme="minorHAnsi"/>
          <w:b/>
          <w:sz w:val="22"/>
          <w:szCs w:val="22"/>
        </w:rPr>
        <w:t>structure</w:t>
      </w:r>
      <w:r w:rsidRPr="00A63E93">
        <w:rPr>
          <w:rFonts w:asciiTheme="minorHAnsi" w:eastAsia="Arial" w:hAnsiTheme="minorHAnsi" w:cstheme="minorHAnsi"/>
          <w:sz w:val="22"/>
          <w:szCs w:val="22"/>
        </w:rPr>
        <w:t xml:space="preserve"> :indolique ou dihydroindolique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w:t>
      </w:r>
      <w:r w:rsidRPr="00A63E93">
        <w:rPr>
          <w:rFonts w:asciiTheme="minorHAnsi" w:eastAsia="Arial" w:hAnsiTheme="minorHAnsi" w:cstheme="minorHAnsi"/>
          <w:b/>
          <w:sz w:val="22"/>
          <w:szCs w:val="22"/>
        </w:rPr>
        <w:t>Substance pharmacologiquement intéressantes</w:t>
      </w:r>
      <w:r w:rsidRPr="00A63E93">
        <w:rPr>
          <w:rFonts w:asciiTheme="minorHAnsi" w:eastAsia="Arial" w:hAnsiTheme="minorHAnsi" w:cstheme="minorHAnsi"/>
          <w:sz w:val="22"/>
          <w:szCs w:val="22"/>
        </w:rPr>
        <w:t xml:space="preserve"> : alcaloïdes « dimères »ou binaires,formés par l’association de 2 alcaloïdes monomères :un indolique et un dihydroindolique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-une vingtaine d’alcaloïdes binaires isolés dont plusieurs sont doués de propriétés cytostatiques,en particulier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-la </w:t>
      </w:r>
      <w:r w:rsidRPr="00A63E93">
        <w:rPr>
          <w:rFonts w:asciiTheme="minorHAnsi" w:eastAsia="Arial" w:hAnsiTheme="minorHAnsi" w:cstheme="minorHAnsi"/>
          <w:b/>
          <w:bCs/>
          <w:sz w:val="22"/>
          <w:szCs w:val="22"/>
        </w:rPr>
        <w:t>vincristine</w:t>
      </w:r>
      <w:r w:rsidRPr="00A63E93">
        <w:rPr>
          <w:rFonts w:asciiTheme="minorHAnsi" w:eastAsia="Arial" w:hAnsiTheme="minorHAnsi" w:cstheme="minorHAnsi"/>
          <w:sz w:val="22"/>
          <w:szCs w:val="22"/>
        </w:rPr>
        <w:t xml:space="preserve"> (</w:t>
      </w:r>
      <w:r w:rsidR="00A63E93" w:rsidRPr="00A63E93">
        <w:rPr>
          <w:rFonts w:asciiTheme="minorHAnsi" w:eastAsia="Arial" w:hAnsiTheme="minorHAnsi" w:cstheme="minorHAnsi"/>
          <w:sz w:val="22"/>
          <w:szCs w:val="22"/>
        </w:rPr>
        <w:t>LEUROCRISTINE</w:t>
      </w:r>
      <w:r w:rsidRPr="00A63E93">
        <w:rPr>
          <w:rFonts w:asciiTheme="minorHAnsi" w:eastAsia="Arial" w:hAnsiTheme="minorHAnsi" w:cstheme="minorHAnsi"/>
          <w:sz w:val="22"/>
          <w:szCs w:val="22"/>
        </w:rPr>
        <w:t>) :0,0003%(1 tonne de DR -&gt;3g d’alcaloïdes)</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-la </w:t>
      </w:r>
      <w:r w:rsidRPr="00A63E93">
        <w:rPr>
          <w:rFonts w:asciiTheme="minorHAnsi" w:eastAsia="Arial" w:hAnsiTheme="minorHAnsi" w:cstheme="minorHAnsi"/>
          <w:b/>
          <w:bCs/>
          <w:sz w:val="22"/>
          <w:szCs w:val="22"/>
        </w:rPr>
        <w:t>vinblastine</w:t>
      </w:r>
      <w:r w:rsidRPr="00A63E93">
        <w:rPr>
          <w:rFonts w:asciiTheme="minorHAnsi" w:eastAsia="Arial" w:hAnsiTheme="minorHAnsi" w:cstheme="minorHAnsi"/>
          <w:sz w:val="22"/>
          <w:szCs w:val="22"/>
        </w:rPr>
        <w:t>(</w:t>
      </w:r>
      <w:r w:rsidR="00A63E93" w:rsidRPr="00A63E93">
        <w:rPr>
          <w:rFonts w:asciiTheme="minorHAnsi" w:eastAsia="Arial" w:hAnsiTheme="minorHAnsi" w:cstheme="minorHAnsi"/>
          <w:sz w:val="22"/>
          <w:szCs w:val="22"/>
        </w:rPr>
        <w:t>VINCALEUCOBLASTINE</w:t>
      </w:r>
      <w:r w:rsidRPr="00A63E93">
        <w:rPr>
          <w:rFonts w:asciiTheme="minorHAnsi" w:eastAsia="Arial" w:hAnsiTheme="minorHAnsi" w:cstheme="minorHAnsi"/>
          <w:sz w:val="22"/>
          <w:szCs w:val="22"/>
        </w:rPr>
        <w:t>)  :un peu plus abondante</w:t>
      </w:r>
    </w:p>
    <w:p w:rsidR="009B286E" w:rsidRPr="00A63E93" w:rsidRDefault="009B286E" w:rsidP="009B286E">
      <w:pPr>
        <w:rPr>
          <w:rFonts w:asciiTheme="minorHAnsi" w:eastAsia="Arial" w:hAnsiTheme="minorHAnsi" w:cstheme="minorHAnsi"/>
          <w:b/>
          <w:sz w:val="22"/>
          <w:szCs w:val="22"/>
        </w:rPr>
      </w:pPr>
    </w:p>
    <w:p w:rsidR="009B286E" w:rsidRPr="00985420" w:rsidRDefault="009B286E" w:rsidP="00A63E93">
      <w:pPr>
        <w:pStyle w:val="Titre1"/>
        <w:rPr>
          <w:rFonts w:eastAsia="Arial"/>
        </w:rPr>
      </w:pPr>
      <w:r w:rsidRPr="00985420">
        <w:rPr>
          <w:rFonts w:eastAsia="Arial"/>
        </w:rPr>
        <w:t>3. ACTION PHARMACOLOGIQUE ET TOXICITE</w:t>
      </w:r>
    </w:p>
    <w:p w:rsidR="00A63E93" w:rsidRPr="00F6179C" w:rsidRDefault="00A63E93" w:rsidP="009B286E">
      <w:pPr>
        <w:rPr>
          <w:rFonts w:asciiTheme="minorHAnsi" w:eastAsia="Arial" w:hAnsiTheme="minorHAnsi" w:cstheme="minorHAnsi"/>
          <w:b/>
          <w:bCs/>
          <w:color w:val="006600"/>
          <w:sz w:val="16"/>
          <w:szCs w:val="16"/>
        </w:rPr>
      </w:pPr>
    </w:p>
    <w:p w:rsidR="009B286E" w:rsidRPr="00A63E93" w:rsidRDefault="009B286E" w:rsidP="009B286E">
      <w:pPr>
        <w:rPr>
          <w:rFonts w:asciiTheme="minorHAnsi" w:eastAsia="Arial" w:hAnsiTheme="minorHAnsi" w:cstheme="minorHAnsi"/>
          <w:b/>
          <w:bCs/>
          <w:color w:val="006600"/>
          <w:sz w:val="24"/>
          <w:szCs w:val="24"/>
        </w:rPr>
      </w:pPr>
      <w:r w:rsidRPr="00A63E93">
        <w:rPr>
          <w:rFonts w:asciiTheme="minorHAnsi" w:eastAsia="Arial" w:hAnsiTheme="minorHAnsi" w:cstheme="minorHAnsi"/>
          <w:b/>
          <w:bCs/>
          <w:color w:val="006600"/>
          <w:sz w:val="24"/>
          <w:szCs w:val="24"/>
        </w:rPr>
        <w:t>3.1. ACTION PHARMACOLOGIQUE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-vinblastine et vincristine sont des antimitotiques :se fixent sur la tubuline et empêchent la formation de microtubules qui bloquent le processus mitotique et provoquent une accumulation des cellules en métaphase.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-In vitro, la vincristine inhibe la synthèse des protéines et des acides nucléiques </w:t>
      </w:r>
    </w:p>
    <w:p w:rsidR="009B286E" w:rsidRPr="00A63E93" w:rsidRDefault="009B286E" w:rsidP="009B286E">
      <w:pPr>
        <w:rPr>
          <w:rFonts w:asciiTheme="minorHAnsi" w:eastAsia="Times New Roman" w:hAnsiTheme="minorHAnsi" w:cstheme="minorHAnsi"/>
          <w:sz w:val="22"/>
          <w:szCs w:val="22"/>
        </w:rPr>
      </w:pPr>
    </w:p>
    <w:p w:rsidR="009B286E" w:rsidRPr="00A63E93" w:rsidRDefault="00A63E93" w:rsidP="00A63E93">
      <w:pPr>
        <w:tabs>
          <w:tab w:val="left" w:pos="546"/>
        </w:tabs>
        <w:jc w:val="both"/>
        <w:rPr>
          <w:rFonts w:asciiTheme="minorHAnsi" w:eastAsia="Arial" w:hAnsiTheme="minorHAnsi" w:cstheme="minorHAnsi"/>
          <w:b/>
          <w:bCs/>
          <w:color w:val="006600"/>
          <w:sz w:val="24"/>
          <w:szCs w:val="24"/>
        </w:rPr>
      </w:pPr>
      <w:r>
        <w:rPr>
          <w:rFonts w:asciiTheme="minorHAnsi" w:eastAsia="Arial" w:hAnsiTheme="minorHAnsi" w:cstheme="minorHAnsi"/>
          <w:b/>
          <w:bCs/>
          <w:color w:val="006600"/>
          <w:sz w:val="24"/>
          <w:szCs w:val="24"/>
        </w:rPr>
        <w:t>3.2.</w:t>
      </w:r>
      <w:r w:rsidR="009B286E" w:rsidRPr="00A63E93">
        <w:rPr>
          <w:rFonts w:asciiTheme="minorHAnsi" w:eastAsia="Arial" w:hAnsiTheme="minorHAnsi" w:cstheme="minorHAnsi"/>
          <w:b/>
          <w:bCs/>
          <w:color w:val="006600"/>
          <w:sz w:val="24"/>
          <w:szCs w:val="24"/>
        </w:rPr>
        <w:t>TOXICITE</w:t>
      </w:r>
    </w:p>
    <w:p w:rsidR="009B286E" w:rsidRPr="00A63E93" w:rsidRDefault="00F6179C" w:rsidP="009B286E">
      <w:pPr>
        <w:tabs>
          <w:tab w:val="left" w:pos="726"/>
        </w:tabs>
        <w:jc w:val="both"/>
        <w:rPr>
          <w:rFonts w:asciiTheme="minorHAnsi" w:eastAsia="Wingdings" w:hAnsiTheme="minorHAnsi" w:cstheme="minorHAnsi"/>
          <w:color w:val="0070C0"/>
          <w:sz w:val="22"/>
          <w:szCs w:val="22"/>
          <w:vertAlign w:val="superscript"/>
        </w:rPr>
      </w:pPr>
      <w:r w:rsidRPr="00F6179C">
        <w:rPr>
          <w:rFonts w:cs="Calibri"/>
          <w:b/>
          <w:bCs/>
          <w:color w:val="0070C0"/>
        </w:rPr>
        <w:t>•</w:t>
      </w:r>
      <w:r>
        <w:rPr>
          <w:rFonts w:cs="Calibri"/>
          <w:b/>
          <w:bCs/>
          <w:color w:val="0070C0"/>
        </w:rPr>
        <w:t xml:space="preserve"> </w:t>
      </w:r>
      <w:r w:rsidR="00A63E93" w:rsidRPr="00F6179C">
        <w:rPr>
          <w:rFonts w:asciiTheme="minorHAnsi" w:eastAsia="Arial" w:hAnsiTheme="minorHAnsi" w:cstheme="minorHAnsi"/>
          <w:b/>
          <w:color w:val="0070C0"/>
          <w:sz w:val="22"/>
          <w:szCs w:val="22"/>
        </w:rPr>
        <w:t>V</w:t>
      </w:r>
      <w:r w:rsidR="009B286E" w:rsidRPr="00F6179C">
        <w:rPr>
          <w:rFonts w:asciiTheme="minorHAnsi" w:eastAsia="Arial" w:hAnsiTheme="minorHAnsi" w:cstheme="minorHAnsi"/>
          <w:b/>
          <w:color w:val="0070C0"/>
          <w:sz w:val="22"/>
          <w:szCs w:val="22"/>
        </w:rPr>
        <w:t>incristine</w:t>
      </w:r>
      <w:r w:rsidR="009B286E" w:rsidRPr="00A63E93">
        <w:rPr>
          <w:rFonts w:asciiTheme="minorHAnsi" w:eastAsia="Arial" w:hAnsiTheme="minorHAnsi" w:cstheme="minorHAnsi"/>
          <w:b/>
          <w:color w:val="0070C0"/>
          <w:sz w:val="22"/>
          <w:szCs w:val="22"/>
        </w:rPr>
        <w:t xml:space="preserv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-effets neurologiques :centraux et périphériques :</w:t>
      </w:r>
      <w:r w:rsidR="00F6179C">
        <w:rPr>
          <w:rFonts w:asciiTheme="minorHAnsi" w:eastAsia="Arial" w:hAnsiTheme="minorHAnsi" w:cstheme="minorHAnsi"/>
          <w:sz w:val="22"/>
          <w:szCs w:val="22"/>
        </w:rPr>
        <w:t xml:space="preserve"> </w:t>
      </w:r>
      <w:r w:rsidR="00F6179C" w:rsidRPr="00A63E93">
        <w:rPr>
          <w:rFonts w:asciiTheme="minorHAnsi" w:eastAsia="Arial" w:hAnsiTheme="minorHAnsi" w:cstheme="minorHAnsi"/>
          <w:sz w:val="22"/>
          <w:szCs w:val="22"/>
        </w:rPr>
        <w:t>paresthésies, douleurs</w:t>
      </w:r>
      <w:r w:rsidRPr="00A63E93">
        <w:rPr>
          <w:rFonts w:asciiTheme="minorHAnsi" w:eastAsia="Arial" w:hAnsiTheme="minorHAnsi" w:cstheme="minorHAnsi"/>
          <w:sz w:val="22"/>
          <w:szCs w:val="22"/>
        </w:rPr>
        <w:t xml:space="preserve"> </w:t>
      </w:r>
      <w:r w:rsidR="00F6179C" w:rsidRPr="00A63E93">
        <w:rPr>
          <w:rFonts w:asciiTheme="minorHAnsi" w:eastAsia="Arial" w:hAnsiTheme="minorHAnsi" w:cstheme="minorHAnsi"/>
          <w:sz w:val="22"/>
          <w:szCs w:val="22"/>
        </w:rPr>
        <w:t>névritiques, myalgie</w:t>
      </w:r>
      <w:r w:rsidRPr="00A63E93">
        <w:rPr>
          <w:rFonts w:asciiTheme="minorHAnsi" w:eastAsia="Arial" w:hAnsiTheme="minorHAnsi" w:cstheme="minorHAnsi"/>
          <w:sz w:val="22"/>
          <w:szCs w:val="22"/>
        </w:rPr>
        <w:t>(conséquence de l’inhibition de la MAO)</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-effets digestifs(constipation)</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-autres effets indes possibles :</w:t>
      </w:r>
      <w:r w:rsidR="00F6179C" w:rsidRPr="00A63E93">
        <w:rPr>
          <w:rFonts w:asciiTheme="minorHAnsi" w:eastAsia="Arial" w:hAnsiTheme="minorHAnsi" w:cstheme="minorHAnsi"/>
          <w:sz w:val="22"/>
          <w:szCs w:val="22"/>
        </w:rPr>
        <w:t>alopécie, azoospermie, dysurie, céphalées, cécité</w:t>
      </w:r>
      <w:r w:rsidRPr="00A63E93">
        <w:rPr>
          <w:rFonts w:asciiTheme="minorHAnsi" w:eastAsia="Arial" w:hAnsiTheme="minorHAnsi" w:cstheme="minorHAnsi"/>
          <w:sz w:val="22"/>
          <w:szCs w:val="22"/>
        </w:rPr>
        <w:t xml:space="preserve"> </w:t>
      </w:r>
      <w:r w:rsidR="00F6179C" w:rsidRPr="00A63E93">
        <w:rPr>
          <w:rFonts w:asciiTheme="minorHAnsi" w:eastAsia="Arial" w:hAnsiTheme="minorHAnsi" w:cstheme="minorHAnsi"/>
          <w:sz w:val="22"/>
          <w:szCs w:val="22"/>
        </w:rPr>
        <w:t>transitoire, ulcération</w:t>
      </w:r>
      <w:r w:rsidRPr="00A63E93">
        <w:rPr>
          <w:rFonts w:asciiTheme="minorHAnsi" w:eastAsia="Arial" w:hAnsiTheme="minorHAnsi" w:cstheme="minorHAnsi"/>
          <w:sz w:val="22"/>
          <w:szCs w:val="22"/>
        </w:rPr>
        <w:t xml:space="preserve"> buccale et aménorrhée.</w:t>
      </w:r>
    </w:p>
    <w:p w:rsidR="00F6179C" w:rsidRDefault="00F6179C" w:rsidP="009B286E">
      <w:pPr>
        <w:rPr>
          <w:rFonts w:asciiTheme="minorHAnsi" w:eastAsia="Arial" w:hAnsiTheme="minorHAnsi" w:cstheme="minorHAnsi"/>
          <w:sz w:val="22"/>
          <w:szCs w:val="22"/>
        </w:rPr>
      </w:pPr>
    </w:p>
    <w:p w:rsidR="00F6179C" w:rsidRDefault="00F6179C" w:rsidP="009B286E">
      <w:pPr>
        <w:rPr>
          <w:rFonts w:asciiTheme="minorHAnsi" w:eastAsia="Arial" w:hAnsiTheme="minorHAnsi" w:cstheme="minorHAnsi"/>
          <w:sz w:val="22"/>
          <w:szCs w:val="22"/>
        </w:rPr>
      </w:pPr>
    </w:p>
    <w:p w:rsidR="00F6179C" w:rsidRDefault="00F6179C" w:rsidP="009B286E">
      <w:pPr>
        <w:rPr>
          <w:rFonts w:asciiTheme="minorHAnsi" w:eastAsia="Arial" w:hAnsiTheme="minorHAnsi" w:cstheme="minorHAnsi"/>
          <w:sz w:val="22"/>
          <w:szCs w:val="22"/>
        </w:rPr>
      </w:pPr>
    </w:p>
    <w:p w:rsidR="00F6179C" w:rsidRDefault="00F6179C" w:rsidP="009B286E">
      <w:pPr>
        <w:rPr>
          <w:rFonts w:asciiTheme="minorHAnsi" w:eastAsia="Arial" w:hAnsiTheme="minorHAnsi" w:cstheme="minorHAnsi"/>
          <w:sz w:val="22"/>
          <w:szCs w:val="22"/>
        </w:rPr>
      </w:pPr>
    </w:p>
    <w:p w:rsidR="00AC7990" w:rsidRDefault="00AC7990" w:rsidP="009B286E">
      <w:pPr>
        <w:rPr>
          <w:rFonts w:asciiTheme="minorHAnsi" w:eastAsia="Arial" w:hAnsiTheme="minorHAnsi" w:cstheme="minorHAnsi"/>
          <w:sz w:val="22"/>
          <w:szCs w:val="22"/>
        </w:rPr>
      </w:pPr>
    </w:p>
    <w:p w:rsidR="00F6179C" w:rsidRDefault="00F6179C" w:rsidP="009B286E">
      <w:pPr>
        <w:rPr>
          <w:rFonts w:asciiTheme="minorHAnsi" w:eastAsia="Arial" w:hAnsiTheme="minorHAnsi" w:cstheme="minorHAnsi"/>
          <w:sz w:val="16"/>
          <w:szCs w:val="16"/>
        </w:rPr>
      </w:pPr>
    </w:p>
    <w:p w:rsidR="00AC7990" w:rsidRPr="00AC7990" w:rsidRDefault="00AC7990" w:rsidP="009B286E">
      <w:pPr>
        <w:rPr>
          <w:rFonts w:asciiTheme="minorHAnsi" w:eastAsia="Arial" w:hAnsiTheme="minorHAnsi" w:cstheme="minorHAnsi"/>
          <w:sz w:val="12"/>
          <w:szCs w:val="12"/>
        </w:rPr>
      </w:pP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w:t>
      </w:r>
      <w:r w:rsidRPr="00A63E93">
        <w:rPr>
          <w:rFonts w:asciiTheme="minorHAnsi" w:eastAsia="Arial" w:hAnsiTheme="minorHAnsi" w:cstheme="minorHAnsi"/>
          <w:b/>
          <w:sz w:val="22"/>
          <w:szCs w:val="22"/>
        </w:rPr>
        <w:t>Précautions d’emploi</w:t>
      </w:r>
      <w:r w:rsidRPr="00A63E93">
        <w:rPr>
          <w:rFonts w:asciiTheme="minorHAnsi" w:eastAsia="Arial" w:hAnsiTheme="minorHAnsi" w:cstheme="minorHAnsi"/>
          <w:sz w:val="22"/>
          <w:szCs w:val="22"/>
        </w:rPr>
        <w:t xml:space="preserve"> :</w:t>
      </w:r>
      <w:r w:rsidR="00F6179C">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éviter tout contact avec les yeux et à ne pas administrer par voie intra-thécale,</w:t>
      </w:r>
      <w:r w:rsidR="00F6179C">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éviter l’administration simultanée avec un radiothérapie dont les champs incluent le foie.</w:t>
      </w:r>
    </w:p>
    <w:p w:rsidR="009B286E" w:rsidRPr="00F6179C" w:rsidRDefault="00F6179C" w:rsidP="00F6179C">
      <w:pPr>
        <w:rPr>
          <w:rFonts w:asciiTheme="minorHAnsi" w:eastAsia="Arial" w:hAnsiTheme="minorHAnsi" w:cstheme="minorHAnsi"/>
          <w:b/>
          <w:color w:val="0070C0"/>
          <w:sz w:val="22"/>
          <w:szCs w:val="22"/>
        </w:rPr>
      </w:pPr>
      <w:r w:rsidRPr="00F6179C">
        <w:rPr>
          <w:rFonts w:cs="Calibri"/>
          <w:b/>
          <w:bCs/>
          <w:color w:val="0070C0"/>
        </w:rPr>
        <w:t>•</w:t>
      </w:r>
      <w:r>
        <w:rPr>
          <w:rFonts w:cs="Calibri"/>
          <w:b/>
          <w:bCs/>
          <w:color w:val="0070C0"/>
        </w:rPr>
        <w:t xml:space="preserve"> </w:t>
      </w:r>
      <w:r w:rsidR="009B286E" w:rsidRPr="00F6179C">
        <w:rPr>
          <w:rFonts w:asciiTheme="minorHAnsi" w:eastAsia="Arial" w:hAnsiTheme="minorHAnsi" w:cstheme="minorHAnsi"/>
          <w:b/>
          <w:color w:val="0070C0"/>
          <w:sz w:val="22"/>
          <w:szCs w:val="22"/>
        </w:rPr>
        <w:t>Vinblastine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-forte action leucopénique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-induit des troubles gastro-intestinaux :</w:t>
      </w:r>
      <w:r w:rsidR="00FE7123" w:rsidRPr="00A63E93">
        <w:rPr>
          <w:rFonts w:asciiTheme="minorHAnsi" w:eastAsia="Arial" w:hAnsiTheme="minorHAnsi" w:cstheme="minorHAnsi"/>
          <w:sz w:val="22"/>
          <w:szCs w:val="22"/>
        </w:rPr>
        <w:t>nausées, vomissement</w:t>
      </w:r>
      <w:r w:rsidRPr="00A63E93">
        <w:rPr>
          <w:rFonts w:asciiTheme="minorHAnsi" w:eastAsia="Arial" w:hAnsiTheme="minorHAnsi" w:cstheme="minorHAnsi"/>
          <w:sz w:val="22"/>
          <w:szCs w:val="22"/>
        </w:rPr>
        <w:t xml:space="preserve"> ,constipation d’aspect occlusif</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-troubles neurologiques :</w:t>
      </w:r>
      <w:r w:rsidR="00FE7123" w:rsidRPr="00A63E93">
        <w:rPr>
          <w:rFonts w:asciiTheme="minorHAnsi" w:eastAsia="Arial" w:hAnsiTheme="minorHAnsi" w:cstheme="minorHAnsi"/>
          <w:sz w:val="22"/>
          <w:szCs w:val="22"/>
        </w:rPr>
        <w:t>céphalées, dépression</w:t>
      </w:r>
      <w:r w:rsidRPr="00A63E93">
        <w:rPr>
          <w:rFonts w:asciiTheme="minorHAnsi" w:eastAsia="Arial" w:hAnsiTheme="minorHAnsi" w:cstheme="minorHAnsi"/>
          <w:sz w:val="22"/>
          <w:szCs w:val="22"/>
        </w:rPr>
        <w:t xml:space="preserve"> ,toxicité auditive(surdité) et respiratoire.</w:t>
      </w:r>
    </w:p>
    <w:p w:rsidR="009B286E"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-une alopécie</w:t>
      </w:r>
    </w:p>
    <w:p w:rsidR="00FE7123" w:rsidRPr="00A63E93" w:rsidRDefault="00FE7123" w:rsidP="009B286E">
      <w:pPr>
        <w:rPr>
          <w:rFonts w:asciiTheme="minorHAnsi" w:eastAsia="Arial" w:hAnsiTheme="minorHAnsi" w:cstheme="minorHAnsi"/>
          <w:sz w:val="22"/>
          <w:szCs w:val="22"/>
        </w:rPr>
      </w:pPr>
    </w:p>
    <w:p w:rsidR="009B286E" w:rsidRPr="00A63E93" w:rsidRDefault="009B286E" w:rsidP="00FE7123">
      <w:pPr>
        <w:pStyle w:val="Titre1"/>
        <w:rPr>
          <w:rFonts w:eastAsia="Arial"/>
        </w:rPr>
      </w:pPr>
      <w:r w:rsidRPr="00A63E93">
        <w:rPr>
          <w:rFonts w:eastAsia="Arial"/>
        </w:rPr>
        <w:t>4. EMPLOI</w:t>
      </w:r>
    </w:p>
    <w:p w:rsidR="00FE7123" w:rsidRPr="003A27E0" w:rsidRDefault="00FE7123" w:rsidP="009B286E">
      <w:pPr>
        <w:rPr>
          <w:rFonts w:asciiTheme="minorHAnsi" w:eastAsia="Arial" w:hAnsiTheme="minorHAnsi" w:cstheme="minorHAnsi"/>
          <w:b/>
          <w:sz w:val="16"/>
          <w:szCs w:val="16"/>
        </w:rPr>
      </w:pPr>
    </w:p>
    <w:p w:rsidR="009B286E" w:rsidRPr="00FE7123" w:rsidRDefault="009B286E" w:rsidP="009B286E">
      <w:pPr>
        <w:rPr>
          <w:rFonts w:asciiTheme="minorHAnsi" w:eastAsia="Arial" w:hAnsiTheme="minorHAnsi" w:cstheme="minorHAnsi"/>
          <w:b/>
          <w:color w:val="006600"/>
          <w:sz w:val="24"/>
          <w:szCs w:val="24"/>
          <w:u w:val="single"/>
        </w:rPr>
      </w:pPr>
      <w:r w:rsidRPr="00FE7123">
        <w:rPr>
          <w:rFonts w:asciiTheme="minorHAnsi" w:eastAsia="Arial" w:hAnsiTheme="minorHAnsi" w:cstheme="minorHAnsi"/>
          <w:b/>
          <w:color w:val="006600"/>
          <w:sz w:val="24"/>
          <w:szCs w:val="24"/>
          <w:u w:val="single"/>
        </w:rPr>
        <w:t>A-DERIVES NATURELS</w:t>
      </w:r>
    </w:p>
    <w:p w:rsidR="009B286E" w:rsidRPr="00FE7123" w:rsidRDefault="009B286E" w:rsidP="009B286E">
      <w:pPr>
        <w:rPr>
          <w:rFonts w:asciiTheme="minorHAnsi" w:eastAsia="Times New Roman" w:hAnsiTheme="minorHAnsi" w:cstheme="minorHAnsi"/>
          <w:b/>
          <w:color w:val="0070C0"/>
          <w:sz w:val="22"/>
          <w:szCs w:val="22"/>
        </w:rPr>
      </w:pPr>
      <w:r w:rsidRPr="00FE7123">
        <w:rPr>
          <w:rFonts w:asciiTheme="minorHAnsi" w:eastAsia="Arial" w:hAnsiTheme="minorHAnsi" w:cstheme="minorHAnsi"/>
          <w:b/>
          <w:color w:val="0070C0"/>
          <w:sz w:val="22"/>
          <w:szCs w:val="22"/>
        </w:rPr>
        <w:t>1. SULFATE DE VINCRISTINE (LISTE I) : ONCOVIN</w:t>
      </w:r>
      <w:r w:rsidRPr="00FE7123">
        <w:rPr>
          <w:rFonts w:asciiTheme="minorHAnsi" w:eastAsia="Times New Roman" w:hAnsiTheme="minorHAnsi" w:cstheme="minorHAnsi"/>
          <w:b/>
          <w:color w:val="0070C0"/>
          <w:sz w:val="22"/>
          <w:szCs w:val="22"/>
        </w:rPr>
        <w:t>®</w:t>
      </w:r>
    </w:p>
    <w:p w:rsidR="009B286E" w:rsidRPr="00FE7123" w:rsidRDefault="009B286E" w:rsidP="009B286E">
      <w:pPr>
        <w:rPr>
          <w:rFonts w:asciiTheme="minorHAnsi" w:eastAsia="Arial" w:hAnsiTheme="minorHAnsi" w:cstheme="minorHAnsi"/>
          <w:b/>
          <w:color w:val="E36C0A" w:themeColor="accent6" w:themeShade="BF"/>
          <w:sz w:val="22"/>
          <w:szCs w:val="22"/>
          <w:u w:val="single"/>
        </w:rPr>
      </w:pPr>
      <w:r w:rsidRPr="00FE7123">
        <w:rPr>
          <w:rFonts w:asciiTheme="minorHAnsi" w:eastAsia="Arial" w:hAnsiTheme="minorHAnsi" w:cstheme="minorHAnsi"/>
          <w:b/>
          <w:color w:val="E36C0A" w:themeColor="accent6" w:themeShade="BF"/>
          <w:sz w:val="22"/>
          <w:szCs w:val="22"/>
          <w:u w:val="single"/>
        </w:rPr>
        <w:t>Indication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-En monothérapie dans les leucémie aiguës lymphoblastiques , </w:t>
      </w:r>
      <w:r w:rsidR="00FE7123" w:rsidRPr="00A63E93">
        <w:rPr>
          <w:rFonts w:asciiTheme="minorHAnsi" w:eastAsia="Arial" w:hAnsiTheme="minorHAnsi" w:cstheme="minorHAnsi"/>
          <w:sz w:val="22"/>
          <w:szCs w:val="22"/>
        </w:rPr>
        <w:t>lymphomes</w:t>
      </w:r>
      <w:r w:rsidRPr="00A63E93">
        <w:rPr>
          <w:rFonts w:asciiTheme="minorHAnsi" w:eastAsia="Arial" w:hAnsiTheme="minorHAnsi" w:cstheme="minorHAnsi"/>
          <w:sz w:val="22"/>
          <w:szCs w:val="22"/>
        </w:rPr>
        <w:t xml:space="preserve"> malins y </w:t>
      </w:r>
      <w:r w:rsidR="00FE7123" w:rsidRPr="00A63E93">
        <w:rPr>
          <w:rFonts w:asciiTheme="minorHAnsi" w:eastAsia="Arial" w:hAnsiTheme="minorHAnsi" w:cstheme="minorHAnsi"/>
          <w:sz w:val="22"/>
          <w:szCs w:val="22"/>
        </w:rPr>
        <w:t>compris</w:t>
      </w:r>
      <w:r w:rsidRPr="00A63E93">
        <w:rPr>
          <w:rFonts w:asciiTheme="minorHAnsi" w:eastAsia="Arial" w:hAnsiTheme="minorHAnsi" w:cstheme="minorHAnsi"/>
          <w:sz w:val="22"/>
          <w:szCs w:val="22"/>
        </w:rPr>
        <w:t xml:space="preserve"> la maladie de Hodgkin, myélome multiple, Tumeurs solides, cancer du sein métastasique.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*cancers de poumons à petites </w:t>
      </w:r>
      <w:r w:rsidR="00FE7123" w:rsidRPr="00A63E93">
        <w:rPr>
          <w:rFonts w:asciiTheme="minorHAnsi" w:eastAsia="Arial" w:hAnsiTheme="minorHAnsi" w:cstheme="minorHAnsi"/>
          <w:sz w:val="22"/>
          <w:szCs w:val="22"/>
        </w:rPr>
        <w:t>cellules, divers</w:t>
      </w:r>
      <w:r w:rsidRPr="00A63E93">
        <w:rPr>
          <w:rFonts w:asciiTheme="minorHAnsi" w:eastAsia="Arial" w:hAnsiTheme="minorHAnsi" w:cstheme="minorHAnsi"/>
          <w:sz w:val="22"/>
          <w:szCs w:val="22"/>
        </w:rPr>
        <w:t xml:space="preserve"> sarcomes</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(s. d’Ewing,rhabdomyosarcome = s. de fibres musculaires striées)</w:t>
      </w:r>
    </w:p>
    <w:p w:rsidR="009B286E" w:rsidRPr="00FE7123" w:rsidRDefault="009B286E" w:rsidP="009B286E">
      <w:pPr>
        <w:rPr>
          <w:rFonts w:asciiTheme="minorHAnsi" w:eastAsia="Arial" w:hAnsiTheme="minorHAnsi" w:cstheme="minorHAnsi"/>
          <w:b/>
          <w:color w:val="E36C0A" w:themeColor="accent6" w:themeShade="BF"/>
          <w:sz w:val="22"/>
          <w:szCs w:val="22"/>
          <w:u w:val="single"/>
        </w:rPr>
      </w:pPr>
      <w:r w:rsidRPr="00FE7123">
        <w:rPr>
          <w:rFonts w:asciiTheme="minorHAnsi" w:eastAsia="Arial" w:hAnsiTheme="minorHAnsi" w:cstheme="minorHAnsi"/>
          <w:b/>
          <w:color w:val="E36C0A" w:themeColor="accent6" w:themeShade="BF"/>
          <w:sz w:val="22"/>
          <w:szCs w:val="22"/>
          <w:u w:val="single"/>
        </w:rPr>
        <w:t xml:space="preserve"> Posologie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-Adulte :1,4mg/m2 de SC/injection</w:t>
      </w:r>
    </w:p>
    <w:p w:rsidR="00FE7123" w:rsidRDefault="009B286E" w:rsidP="00FE7123">
      <w:pPr>
        <w:rPr>
          <w:rFonts w:asciiTheme="minorHAnsi" w:eastAsia="Arial" w:hAnsiTheme="minorHAnsi" w:cstheme="minorHAnsi"/>
          <w:color w:val="E36C0A" w:themeColor="accent6" w:themeShade="BF"/>
          <w:sz w:val="22"/>
          <w:szCs w:val="22"/>
          <w:u w:val="single"/>
        </w:rPr>
      </w:pPr>
      <w:r w:rsidRPr="00FE7123">
        <w:rPr>
          <w:rFonts w:asciiTheme="minorHAnsi" w:eastAsia="Arial" w:hAnsiTheme="minorHAnsi" w:cstheme="minorHAnsi"/>
          <w:b/>
          <w:color w:val="E36C0A" w:themeColor="accent6" w:themeShade="BF"/>
          <w:sz w:val="22"/>
          <w:szCs w:val="22"/>
          <w:u w:val="single"/>
        </w:rPr>
        <w:t xml:space="preserve">Précautions d’emploi </w:t>
      </w:r>
      <w:r w:rsidRPr="00FE7123">
        <w:rPr>
          <w:rFonts w:asciiTheme="minorHAnsi" w:eastAsia="Arial" w:hAnsiTheme="minorHAnsi" w:cstheme="minorHAnsi"/>
          <w:color w:val="E36C0A" w:themeColor="accent6" w:themeShade="BF"/>
          <w:sz w:val="22"/>
          <w:szCs w:val="22"/>
          <w:u w:val="single"/>
        </w:rPr>
        <w:t>:</w:t>
      </w:r>
      <w:r w:rsidR="00FE7123">
        <w:rPr>
          <w:rFonts w:asciiTheme="minorHAnsi" w:eastAsia="Arial" w:hAnsiTheme="minorHAnsi" w:cstheme="minorHAnsi"/>
          <w:color w:val="E36C0A" w:themeColor="accent6" w:themeShade="BF"/>
          <w:sz w:val="22"/>
          <w:szCs w:val="22"/>
          <w:u w:val="single"/>
        </w:rPr>
        <w:t xml:space="preserve"> </w:t>
      </w:r>
    </w:p>
    <w:p w:rsidR="009B286E" w:rsidRPr="00A63E93" w:rsidRDefault="009B286E" w:rsidP="00FE7123">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 l’extravasation du produit injecté en IV--&gt; cellulite, phlébite et parfois nécrose.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En cas d’insuffisance hépatique :diminuer la posologie de moitié</w:t>
      </w:r>
    </w:p>
    <w:p w:rsidR="00FE7123" w:rsidRPr="00FE7123" w:rsidRDefault="009B286E" w:rsidP="00FE7123">
      <w:pPr>
        <w:tabs>
          <w:tab w:val="left" w:pos="720"/>
        </w:tabs>
        <w:jc w:val="both"/>
        <w:rPr>
          <w:rFonts w:asciiTheme="minorHAnsi" w:eastAsia="Wingdings" w:hAnsiTheme="minorHAnsi" w:cstheme="minorHAnsi"/>
          <w:sz w:val="22"/>
          <w:szCs w:val="22"/>
          <w:vertAlign w:val="superscript"/>
        </w:rPr>
      </w:pPr>
      <w:r w:rsidRPr="00FE7123">
        <w:rPr>
          <w:rFonts w:asciiTheme="minorHAnsi" w:eastAsia="Arial" w:hAnsiTheme="minorHAnsi" w:cstheme="minorHAnsi"/>
          <w:b/>
          <w:color w:val="E36C0A" w:themeColor="accent6" w:themeShade="BF"/>
          <w:sz w:val="22"/>
          <w:szCs w:val="22"/>
          <w:u w:val="single"/>
        </w:rPr>
        <w:t>Contre-indications :</w:t>
      </w:r>
      <w:r w:rsidRPr="00A63E93">
        <w:rPr>
          <w:rFonts w:asciiTheme="minorHAnsi" w:eastAsia="Arial" w:hAnsiTheme="minorHAnsi" w:cstheme="minorHAnsi"/>
          <w:sz w:val="22"/>
          <w:szCs w:val="22"/>
        </w:rPr>
        <w:t xml:space="preserve"> </w:t>
      </w:r>
      <w:r w:rsidR="00FE7123">
        <w:rPr>
          <w:rFonts w:asciiTheme="minorHAnsi" w:eastAsia="Arial" w:hAnsiTheme="minorHAnsi" w:cstheme="minorHAnsi"/>
          <w:sz w:val="22"/>
          <w:szCs w:val="22"/>
        </w:rPr>
        <w:t xml:space="preserve"> </w:t>
      </w:r>
    </w:p>
    <w:p w:rsidR="009B286E" w:rsidRPr="00FE7123" w:rsidRDefault="009B286E" w:rsidP="00FE7123">
      <w:pPr>
        <w:tabs>
          <w:tab w:val="left" w:pos="720"/>
        </w:tabs>
        <w:jc w:val="both"/>
        <w:rPr>
          <w:rFonts w:asciiTheme="minorHAnsi" w:eastAsia="Wingdings" w:hAnsiTheme="minorHAnsi" w:cstheme="minorHAnsi"/>
          <w:sz w:val="22"/>
          <w:szCs w:val="22"/>
          <w:vertAlign w:val="superscript"/>
        </w:rPr>
      </w:pPr>
      <w:r w:rsidRPr="00A63E93">
        <w:rPr>
          <w:rFonts w:asciiTheme="minorHAnsi" w:eastAsia="Arial" w:hAnsiTheme="minorHAnsi" w:cstheme="minorHAnsi"/>
          <w:sz w:val="22"/>
          <w:szCs w:val="22"/>
        </w:rPr>
        <w:t>neuropathie périphérique sévère, femme enceinte</w:t>
      </w:r>
      <w:r w:rsidRPr="00A63E93">
        <w:rPr>
          <w:rFonts w:asciiTheme="minorHAnsi" w:eastAsia="Arial" w:hAnsiTheme="minorHAnsi" w:cstheme="minorHAnsi"/>
          <w:b/>
          <w:sz w:val="22"/>
          <w:szCs w:val="22"/>
        </w:rPr>
        <w:t xml:space="preserve"> </w:t>
      </w:r>
      <w:r w:rsidRPr="00A63E93">
        <w:rPr>
          <w:rFonts w:asciiTheme="minorHAnsi" w:eastAsia="Arial" w:hAnsiTheme="minorHAnsi" w:cstheme="minorHAnsi"/>
          <w:sz w:val="22"/>
          <w:szCs w:val="22"/>
        </w:rPr>
        <w:t xml:space="preserve">et </w:t>
      </w:r>
      <w:r w:rsidRPr="00FE7123">
        <w:rPr>
          <w:rFonts w:asciiTheme="minorHAnsi" w:eastAsia="Arial" w:hAnsiTheme="minorHAnsi" w:cstheme="minorHAnsi"/>
          <w:sz w:val="22"/>
          <w:szCs w:val="22"/>
        </w:rPr>
        <w:t>allaitante.</w:t>
      </w:r>
    </w:p>
    <w:p w:rsidR="009B286E" w:rsidRPr="00A63E93" w:rsidRDefault="009B286E" w:rsidP="009B286E">
      <w:pPr>
        <w:tabs>
          <w:tab w:val="left" w:pos="720"/>
        </w:tabs>
        <w:jc w:val="both"/>
        <w:rPr>
          <w:rFonts w:asciiTheme="minorHAnsi" w:eastAsia="Arial" w:hAnsiTheme="minorHAnsi" w:cstheme="minorHAnsi"/>
          <w:b/>
          <w:bCs/>
          <w:i/>
          <w:iCs/>
          <w:sz w:val="22"/>
          <w:szCs w:val="22"/>
          <w:u w:val="single"/>
        </w:rPr>
      </w:pPr>
      <w:r w:rsidRPr="00A63E93">
        <w:rPr>
          <w:rFonts w:asciiTheme="minorHAnsi" w:eastAsia="Arial" w:hAnsiTheme="minorHAnsi" w:cstheme="minorHAnsi"/>
          <w:b/>
          <w:bCs/>
          <w:i/>
          <w:iCs/>
          <w:sz w:val="22"/>
          <w:szCs w:val="22"/>
          <w:u w:val="single"/>
        </w:rPr>
        <w:t>LIPOSOME DE VINCRISTINE:</w:t>
      </w:r>
      <w:r w:rsidR="00FE7123" w:rsidRPr="00FE7123">
        <w:rPr>
          <w:rFonts w:asciiTheme="minorHAnsi" w:eastAsia="Arial" w:hAnsiTheme="minorHAnsi" w:cstheme="minorHAnsi"/>
          <w:b/>
          <w:bCs/>
          <w:i/>
          <w:iCs/>
          <w:sz w:val="22"/>
          <w:szCs w:val="22"/>
        </w:rPr>
        <w:t xml:space="preserve"> </w:t>
      </w:r>
      <w:r w:rsidR="00FE7123" w:rsidRPr="00FE7123">
        <w:rPr>
          <w:rFonts w:asciiTheme="minorHAnsi" w:eastAsia="Arial" w:hAnsiTheme="minorHAnsi" w:cstheme="minorHAnsi"/>
          <w:b/>
          <w:bCs/>
          <w:sz w:val="22"/>
          <w:szCs w:val="22"/>
        </w:rPr>
        <w:t>(Nouveau!)</w:t>
      </w:r>
    </w:p>
    <w:p w:rsidR="009B286E" w:rsidRPr="00A63E93" w:rsidRDefault="00713ADD" w:rsidP="009B286E">
      <w:pPr>
        <w:tabs>
          <w:tab w:val="left" w:pos="720"/>
        </w:tabs>
        <w:jc w:val="both"/>
        <w:rPr>
          <w:rFonts w:asciiTheme="minorHAnsi" w:eastAsia="Arial" w:hAnsiTheme="minorHAnsi" w:cstheme="minorHAnsi"/>
          <w:sz w:val="22"/>
          <w:szCs w:val="22"/>
        </w:rPr>
      </w:pPr>
      <w:r w:rsidRPr="00A63E93">
        <w:rPr>
          <w:rFonts w:asciiTheme="minorHAnsi" w:eastAsia="Arial" w:hAnsiTheme="minorHAnsi" w:cstheme="minorHAnsi"/>
          <w:sz w:val="22"/>
          <w:szCs w:val="22"/>
        </w:rPr>
        <w:t>L'inclusion</w:t>
      </w:r>
      <w:r w:rsidR="009B286E" w:rsidRPr="00A63E93">
        <w:rPr>
          <w:rFonts w:asciiTheme="minorHAnsi" w:eastAsia="Arial" w:hAnsiTheme="minorHAnsi" w:cstheme="minorHAnsi"/>
          <w:sz w:val="22"/>
          <w:szCs w:val="22"/>
        </w:rPr>
        <w:t xml:space="preserve"> de vincristine dans une bicouche de sphingomyélines, forme approuvée par la FDA en 2012 pour le traitement de certaines formes de leucémies lymphoblastiques.</w:t>
      </w:r>
    </w:p>
    <w:p w:rsidR="00713ADD" w:rsidRDefault="00713ADD" w:rsidP="009B286E">
      <w:pPr>
        <w:rPr>
          <w:rFonts w:asciiTheme="minorHAnsi" w:eastAsia="Arial" w:hAnsiTheme="minorHAnsi" w:cstheme="minorHAnsi"/>
          <w:b/>
          <w:sz w:val="22"/>
          <w:szCs w:val="22"/>
        </w:rPr>
      </w:pPr>
    </w:p>
    <w:p w:rsidR="00713ADD" w:rsidRDefault="00713ADD" w:rsidP="009B286E">
      <w:pPr>
        <w:rPr>
          <w:rFonts w:asciiTheme="minorHAnsi" w:eastAsia="Arial" w:hAnsiTheme="minorHAnsi" w:cstheme="minorHAnsi"/>
          <w:b/>
          <w:sz w:val="22"/>
          <w:szCs w:val="22"/>
        </w:rPr>
      </w:pPr>
    </w:p>
    <w:p w:rsidR="00713ADD" w:rsidRDefault="00713ADD" w:rsidP="009B286E">
      <w:pPr>
        <w:rPr>
          <w:rFonts w:asciiTheme="minorHAnsi" w:eastAsia="Arial" w:hAnsiTheme="minorHAnsi" w:cstheme="minorHAnsi"/>
          <w:b/>
          <w:sz w:val="22"/>
          <w:szCs w:val="22"/>
        </w:rPr>
      </w:pPr>
    </w:p>
    <w:p w:rsidR="003A27E0" w:rsidRDefault="003A27E0" w:rsidP="009B286E">
      <w:pPr>
        <w:rPr>
          <w:rFonts w:asciiTheme="minorHAnsi" w:eastAsia="Arial" w:hAnsiTheme="minorHAnsi" w:cstheme="minorHAnsi"/>
          <w:b/>
          <w:color w:val="0070C0"/>
          <w:sz w:val="22"/>
          <w:szCs w:val="22"/>
        </w:rPr>
      </w:pPr>
    </w:p>
    <w:p w:rsidR="003A27E0" w:rsidRDefault="003A27E0" w:rsidP="009B286E">
      <w:pPr>
        <w:rPr>
          <w:rFonts w:asciiTheme="minorHAnsi" w:eastAsia="Arial" w:hAnsiTheme="minorHAnsi" w:cstheme="minorHAnsi"/>
          <w:b/>
          <w:color w:val="0070C0"/>
          <w:sz w:val="22"/>
          <w:szCs w:val="22"/>
        </w:rPr>
      </w:pPr>
    </w:p>
    <w:p w:rsidR="009B286E" w:rsidRPr="00713ADD" w:rsidRDefault="009B286E" w:rsidP="009B286E">
      <w:pPr>
        <w:rPr>
          <w:rFonts w:asciiTheme="minorHAnsi" w:eastAsia="Times New Roman" w:hAnsiTheme="minorHAnsi" w:cstheme="minorHAnsi"/>
          <w:b/>
          <w:color w:val="0070C0"/>
          <w:sz w:val="22"/>
          <w:szCs w:val="22"/>
        </w:rPr>
      </w:pPr>
      <w:r w:rsidRPr="00713ADD">
        <w:rPr>
          <w:rFonts w:asciiTheme="minorHAnsi" w:eastAsia="Arial" w:hAnsiTheme="minorHAnsi" w:cstheme="minorHAnsi"/>
          <w:b/>
          <w:color w:val="0070C0"/>
          <w:sz w:val="22"/>
          <w:szCs w:val="22"/>
        </w:rPr>
        <w:t>2.SULFATE DE VINBLASTINE :LISTE I : VELBE</w:t>
      </w:r>
      <w:r w:rsidRPr="00713ADD">
        <w:rPr>
          <w:rFonts w:asciiTheme="minorHAnsi" w:eastAsia="Times New Roman" w:hAnsiTheme="minorHAnsi" w:cstheme="minorHAnsi"/>
          <w:b/>
          <w:color w:val="0070C0"/>
          <w:sz w:val="22"/>
          <w:szCs w:val="22"/>
        </w:rPr>
        <w:t>®</w:t>
      </w:r>
    </w:p>
    <w:p w:rsidR="009B286E" w:rsidRPr="00713ADD" w:rsidRDefault="009B286E" w:rsidP="009B286E">
      <w:pPr>
        <w:rPr>
          <w:rFonts w:asciiTheme="minorHAnsi" w:eastAsia="Arial" w:hAnsiTheme="minorHAnsi" w:cstheme="minorHAnsi"/>
          <w:b/>
          <w:color w:val="E36C0A" w:themeColor="accent6" w:themeShade="BF"/>
          <w:sz w:val="22"/>
          <w:szCs w:val="22"/>
          <w:u w:val="single"/>
        </w:rPr>
      </w:pPr>
      <w:r w:rsidRPr="00713ADD">
        <w:rPr>
          <w:rFonts w:asciiTheme="minorHAnsi" w:eastAsia="Arial" w:hAnsiTheme="minorHAnsi" w:cstheme="minorHAnsi"/>
          <w:b/>
          <w:color w:val="E36C0A" w:themeColor="accent6" w:themeShade="BF"/>
          <w:sz w:val="22"/>
          <w:szCs w:val="22"/>
          <w:u w:val="single"/>
        </w:rPr>
        <w:t>Indications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-Utilisée dans le cadre de </w:t>
      </w:r>
      <w:r w:rsidR="00713ADD" w:rsidRPr="00A63E93">
        <w:rPr>
          <w:rFonts w:asciiTheme="minorHAnsi" w:eastAsia="Arial" w:hAnsiTheme="minorHAnsi" w:cstheme="minorHAnsi"/>
          <w:sz w:val="22"/>
          <w:szCs w:val="22"/>
        </w:rPr>
        <w:t>poly chimiothérapie</w:t>
      </w:r>
      <w:r w:rsidRPr="00A63E93">
        <w:rPr>
          <w:rFonts w:asciiTheme="minorHAnsi" w:eastAsia="Arial" w:hAnsiTheme="minorHAnsi" w:cstheme="minorHAnsi"/>
          <w:sz w:val="22"/>
          <w:szCs w:val="22"/>
        </w:rPr>
        <w:t>, indiquée dans le traitement de la maladie de Hodgkin et dans le lymphome non Hodgkinien</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 de testicule à un stade avancé(</w:t>
      </w:r>
      <w:r w:rsidR="00713ADD" w:rsidRPr="00A63E93">
        <w:rPr>
          <w:rFonts w:asciiTheme="minorHAnsi" w:eastAsia="Arial" w:hAnsiTheme="minorHAnsi" w:cstheme="minorHAnsi"/>
          <w:sz w:val="22"/>
          <w:szCs w:val="22"/>
        </w:rPr>
        <w:t>poly chimiothérapie</w:t>
      </w:r>
      <w:r w:rsidRPr="00A63E93">
        <w:rPr>
          <w:rFonts w:asciiTheme="minorHAnsi" w:eastAsia="Arial" w:hAnsiTheme="minorHAnsi" w:cstheme="minorHAnsi"/>
          <w:sz w:val="22"/>
          <w:szCs w:val="22"/>
        </w:rPr>
        <w:t xml:space="preserve"> :association au </w:t>
      </w:r>
      <w:r w:rsidRPr="00713ADD">
        <w:rPr>
          <w:rFonts w:asciiTheme="minorHAnsi" w:eastAsia="Arial" w:hAnsiTheme="minorHAnsi" w:cstheme="minorHAnsi"/>
          <w:b/>
          <w:bCs/>
          <w:sz w:val="22"/>
          <w:szCs w:val="22"/>
        </w:rPr>
        <w:t xml:space="preserve">cisplatine </w:t>
      </w:r>
      <w:r w:rsidRPr="00A63E93">
        <w:rPr>
          <w:rFonts w:asciiTheme="minorHAnsi" w:eastAsia="Arial" w:hAnsiTheme="minorHAnsi" w:cstheme="minorHAnsi"/>
          <w:sz w:val="22"/>
          <w:szCs w:val="22"/>
        </w:rPr>
        <w:t xml:space="preserve">et à la </w:t>
      </w:r>
      <w:r w:rsidRPr="00713ADD">
        <w:rPr>
          <w:rFonts w:asciiTheme="minorHAnsi" w:eastAsia="Arial" w:hAnsiTheme="minorHAnsi" w:cstheme="minorHAnsi"/>
          <w:b/>
          <w:bCs/>
          <w:sz w:val="22"/>
          <w:szCs w:val="22"/>
        </w:rPr>
        <w:t>bléomycine</w:t>
      </w:r>
      <w:r w:rsidRPr="00A63E93">
        <w:rPr>
          <w:rFonts w:asciiTheme="minorHAnsi" w:eastAsia="Arial" w:hAnsiTheme="minorHAnsi" w:cstheme="minorHAnsi"/>
          <w:sz w:val="22"/>
          <w:szCs w:val="22"/>
        </w:rPr>
        <w:t>)</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 du sein et de la vessie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-Sarcome de Kaposi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Choriocarcinomes en 1ère , 2ème 3ème intention en fonction du type de cancer.</w:t>
      </w:r>
    </w:p>
    <w:p w:rsidR="009B286E" w:rsidRPr="00713ADD" w:rsidRDefault="009B286E" w:rsidP="009B286E">
      <w:pPr>
        <w:rPr>
          <w:rFonts w:asciiTheme="minorHAnsi" w:eastAsia="Arial" w:hAnsiTheme="minorHAnsi" w:cstheme="minorHAnsi"/>
          <w:b/>
          <w:color w:val="E36C0A" w:themeColor="accent6" w:themeShade="BF"/>
          <w:sz w:val="22"/>
          <w:szCs w:val="22"/>
          <w:u w:val="single"/>
        </w:rPr>
      </w:pPr>
      <w:r w:rsidRPr="00713ADD">
        <w:rPr>
          <w:rFonts w:asciiTheme="minorHAnsi" w:eastAsia="Arial" w:hAnsiTheme="minorHAnsi" w:cstheme="minorHAnsi"/>
          <w:b/>
          <w:color w:val="E36C0A" w:themeColor="accent6" w:themeShade="BF"/>
          <w:sz w:val="22"/>
          <w:szCs w:val="22"/>
          <w:u w:val="single"/>
        </w:rPr>
        <w:t xml:space="preserve"> Posologie</w:t>
      </w:r>
      <w:r w:rsidR="00713ADD">
        <w:rPr>
          <w:rFonts w:asciiTheme="minorHAnsi" w:eastAsia="Arial" w:hAnsiTheme="minorHAnsi" w:cstheme="minorHAnsi"/>
          <w:b/>
          <w:color w:val="E36C0A" w:themeColor="accent6" w:themeShade="BF"/>
          <w:sz w:val="22"/>
          <w:szCs w:val="22"/>
          <w:u w:val="single"/>
        </w:rPr>
        <w:t>:</w:t>
      </w:r>
    </w:p>
    <w:p w:rsidR="003A27E0"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-AD :5 à 7 mg/m2/semaine </w:t>
      </w:r>
    </w:p>
    <w:p w:rsidR="009B286E" w:rsidRPr="00A63E93"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-Enfant :2,5 mg/m2/semaine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Si</w:t>
      </w:r>
      <w:r w:rsidR="003A27E0">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 xml:space="preserve"> insuffisance hépatique :diminuer la posologie de moitié!!</w:t>
      </w:r>
    </w:p>
    <w:p w:rsidR="003A27E0" w:rsidRPr="003A27E0" w:rsidRDefault="009B286E" w:rsidP="00713ADD">
      <w:pPr>
        <w:rPr>
          <w:rFonts w:asciiTheme="minorHAnsi" w:eastAsia="Arial" w:hAnsiTheme="minorHAnsi" w:cstheme="minorHAnsi"/>
          <w:color w:val="E36C0A" w:themeColor="accent6" w:themeShade="BF"/>
          <w:sz w:val="22"/>
          <w:szCs w:val="22"/>
          <w:u w:val="single"/>
        </w:rPr>
      </w:pPr>
      <w:r w:rsidRPr="003A27E0">
        <w:rPr>
          <w:rFonts w:asciiTheme="minorHAnsi" w:eastAsia="Arial" w:hAnsiTheme="minorHAnsi" w:cstheme="minorHAnsi"/>
          <w:b/>
          <w:bCs/>
          <w:color w:val="E36C0A" w:themeColor="accent6" w:themeShade="BF"/>
          <w:sz w:val="22"/>
          <w:szCs w:val="22"/>
          <w:u w:val="single"/>
        </w:rPr>
        <w:t>Contre-Indications</w:t>
      </w:r>
      <w:r w:rsidRPr="003A27E0">
        <w:rPr>
          <w:rFonts w:asciiTheme="minorHAnsi" w:eastAsia="Arial" w:hAnsiTheme="minorHAnsi" w:cstheme="minorHAnsi"/>
          <w:color w:val="E36C0A" w:themeColor="accent6" w:themeShade="BF"/>
          <w:sz w:val="22"/>
          <w:szCs w:val="22"/>
          <w:u w:val="single"/>
        </w:rPr>
        <w:t xml:space="preserve"> </w:t>
      </w:r>
    </w:p>
    <w:p w:rsidR="009B286E" w:rsidRPr="00713ADD" w:rsidRDefault="009B286E" w:rsidP="00713ADD">
      <w:pPr>
        <w:rPr>
          <w:rFonts w:asciiTheme="minorHAnsi" w:eastAsia="Arial" w:hAnsiTheme="minorHAnsi" w:cstheme="minorHAnsi"/>
          <w:sz w:val="22"/>
          <w:szCs w:val="22"/>
        </w:rPr>
      </w:pPr>
      <w:r w:rsidRPr="00A63E93">
        <w:rPr>
          <w:rFonts w:asciiTheme="minorHAnsi" w:eastAsia="Arial" w:hAnsiTheme="minorHAnsi" w:cstheme="minorHAnsi"/>
          <w:sz w:val="22"/>
          <w:szCs w:val="22"/>
        </w:rPr>
        <w:t>:neutropénie préalable, hypersensibilité au produit et en cas d’infections</w:t>
      </w:r>
    </w:p>
    <w:p w:rsidR="003A27E0" w:rsidRPr="003A27E0" w:rsidRDefault="009B286E" w:rsidP="009B286E">
      <w:pPr>
        <w:rPr>
          <w:rFonts w:asciiTheme="minorHAnsi" w:eastAsia="Arial" w:hAnsiTheme="minorHAnsi" w:cstheme="minorHAnsi"/>
          <w:b/>
          <w:bCs/>
          <w:color w:val="E36C0A" w:themeColor="accent6" w:themeShade="BF"/>
          <w:sz w:val="22"/>
          <w:szCs w:val="22"/>
          <w:u w:val="single"/>
        </w:rPr>
      </w:pPr>
      <w:r w:rsidRPr="003A27E0">
        <w:rPr>
          <w:rFonts w:asciiTheme="minorHAnsi" w:eastAsia="Arial" w:hAnsiTheme="minorHAnsi" w:cstheme="minorHAnsi"/>
          <w:b/>
          <w:bCs/>
          <w:color w:val="E36C0A" w:themeColor="accent6" w:themeShade="BF"/>
          <w:sz w:val="22"/>
          <w:szCs w:val="22"/>
          <w:u w:val="single"/>
        </w:rPr>
        <w:t>Mise en garde :</w:t>
      </w:r>
    </w:p>
    <w:p w:rsidR="009B286E"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surveillance cardiovasculaire et éviter l’extravasation</w:t>
      </w:r>
    </w:p>
    <w:p w:rsidR="00713ADD" w:rsidRDefault="00713ADD" w:rsidP="009B286E">
      <w:pPr>
        <w:rPr>
          <w:rFonts w:asciiTheme="minorHAnsi" w:eastAsia="Arial" w:hAnsiTheme="minorHAnsi" w:cstheme="minorHAnsi"/>
          <w:sz w:val="22"/>
          <w:szCs w:val="22"/>
        </w:rPr>
      </w:pPr>
    </w:p>
    <w:p w:rsidR="003A27E0" w:rsidRPr="00A63E93" w:rsidRDefault="003A27E0" w:rsidP="009B286E">
      <w:pPr>
        <w:rPr>
          <w:rFonts w:asciiTheme="minorHAnsi" w:eastAsia="Arial" w:hAnsiTheme="minorHAnsi" w:cstheme="minorHAnsi"/>
          <w:sz w:val="22"/>
          <w:szCs w:val="22"/>
        </w:rPr>
      </w:pPr>
    </w:p>
    <w:p w:rsidR="009B286E" w:rsidRPr="003A27E0" w:rsidRDefault="009B286E" w:rsidP="009B286E">
      <w:pPr>
        <w:rPr>
          <w:rFonts w:asciiTheme="minorHAnsi" w:eastAsia="Arial" w:hAnsiTheme="minorHAnsi" w:cstheme="minorHAnsi"/>
          <w:b/>
          <w:color w:val="006600"/>
          <w:sz w:val="24"/>
          <w:szCs w:val="24"/>
          <w:u w:val="single"/>
        </w:rPr>
      </w:pPr>
      <w:r w:rsidRPr="003A27E0">
        <w:rPr>
          <w:rFonts w:asciiTheme="minorHAnsi" w:eastAsia="Arial" w:hAnsiTheme="minorHAnsi" w:cstheme="minorHAnsi"/>
          <w:b/>
          <w:color w:val="006600"/>
          <w:sz w:val="24"/>
          <w:szCs w:val="24"/>
          <w:u w:val="single"/>
        </w:rPr>
        <w:t>B-DERIVES HEMI-SYNTHETIQUES</w:t>
      </w:r>
    </w:p>
    <w:p w:rsidR="009B286E" w:rsidRPr="003A27E0" w:rsidRDefault="009B286E" w:rsidP="009B286E">
      <w:pPr>
        <w:rPr>
          <w:rFonts w:asciiTheme="minorHAnsi" w:eastAsia="Arial" w:hAnsiTheme="minorHAnsi" w:cstheme="minorHAnsi"/>
          <w:b/>
          <w:color w:val="0070C0"/>
          <w:sz w:val="22"/>
          <w:szCs w:val="22"/>
        </w:rPr>
      </w:pPr>
      <w:r w:rsidRPr="003A27E0">
        <w:rPr>
          <w:rFonts w:asciiTheme="minorHAnsi" w:eastAsia="Arial" w:hAnsiTheme="minorHAnsi" w:cstheme="minorHAnsi"/>
          <w:b/>
          <w:color w:val="0070C0"/>
          <w:sz w:val="22"/>
          <w:szCs w:val="22"/>
        </w:rPr>
        <w:t>1.VINDESINE(DCI) :ELDISINE®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Préparation :à partir de la vinblastine par remplacement du groupement CO-O-CH3 par CO-NH2</w:t>
      </w:r>
    </w:p>
    <w:p w:rsidR="009B286E" w:rsidRPr="003A27E0" w:rsidRDefault="009B286E" w:rsidP="003A27E0">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Indications</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-leucémies aiguës lymphoblastiques</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-lymphomes non Hodgkinien réfractaires à d’autres agents cytostatiques</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-Certaines tumeurs solides: oeil, oesophage, cancer bronch-pulmonaire.</w:t>
      </w:r>
    </w:p>
    <w:p w:rsidR="009B286E" w:rsidRPr="003A27E0" w:rsidRDefault="009B286E" w:rsidP="009B286E">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 Posologie</w:t>
      </w:r>
    </w:p>
    <w:p w:rsidR="009B286E" w:rsidRPr="00A63E93"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u w:val="single"/>
        </w:rPr>
        <w:t>En monothérapie</w:t>
      </w:r>
      <w:r w:rsidRPr="00A63E93">
        <w:rPr>
          <w:rFonts w:asciiTheme="minorHAnsi" w:eastAsia="Arial" w:hAnsiTheme="minorHAnsi" w:cstheme="minorHAnsi"/>
          <w:sz w:val="22"/>
          <w:szCs w:val="22"/>
        </w:rPr>
        <w:t xml:space="preserve"> :3mg/m2 tous les 7 à 10 jours pendant un mois puis tous les 15 j</w:t>
      </w:r>
    </w:p>
    <w:p w:rsid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u w:val="single"/>
        </w:rPr>
        <w:t>En poly-chimiothérapie :</w:t>
      </w:r>
      <w:r w:rsidRPr="00A63E93">
        <w:rPr>
          <w:rFonts w:asciiTheme="minorHAnsi" w:eastAsia="Arial" w:hAnsiTheme="minorHAnsi" w:cstheme="minorHAnsi"/>
          <w:sz w:val="22"/>
          <w:szCs w:val="22"/>
        </w:rPr>
        <w:t>2 à 4 mg/m2 toutes les 3 à 4 semaines vie IV stricte</w:t>
      </w:r>
    </w:p>
    <w:p w:rsidR="003A27E0" w:rsidRPr="003A27E0" w:rsidRDefault="009B286E" w:rsidP="003A27E0">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Contre-Indication </w:t>
      </w:r>
      <w:r w:rsidR="003A27E0" w:rsidRPr="003A27E0">
        <w:rPr>
          <w:rFonts w:asciiTheme="minorHAnsi" w:eastAsia="Arial" w:hAnsiTheme="minorHAnsi" w:cstheme="minorHAnsi"/>
          <w:b/>
          <w:color w:val="E36C0A" w:themeColor="accent6" w:themeShade="BF"/>
          <w:sz w:val="22"/>
          <w:szCs w:val="22"/>
          <w:u w:val="single"/>
        </w:rPr>
        <w:t xml:space="preserve">: </w:t>
      </w:r>
    </w:p>
    <w:p w:rsidR="009B286E" w:rsidRPr="003A27E0" w:rsidRDefault="009B286E" w:rsidP="003A27E0">
      <w:pPr>
        <w:rPr>
          <w:rFonts w:asciiTheme="minorHAnsi" w:eastAsia="Arial" w:hAnsiTheme="minorHAnsi" w:cstheme="minorHAnsi"/>
          <w:sz w:val="22"/>
          <w:szCs w:val="22"/>
        </w:rPr>
      </w:pPr>
      <w:r w:rsidRPr="00A63E93">
        <w:rPr>
          <w:rFonts w:asciiTheme="minorHAnsi" w:eastAsia="Arial" w:hAnsiTheme="minorHAnsi" w:cstheme="minorHAnsi"/>
          <w:sz w:val="22"/>
          <w:szCs w:val="22"/>
        </w:rPr>
        <w:t>femmes enceinte ou allaitante</w:t>
      </w:r>
    </w:p>
    <w:p w:rsidR="009B286E" w:rsidRPr="003A27E0" w:rsidRDefault="009B286E" w:rsidP="00274AA1">
      <w:pPr>
        <w:tabs>
          <w:tab w:val="left" w:pos="720"/>
        </w:tabs>
        <w:jc w:val="both"/>
        <w:rPr>
          <w:rFonts w:asciiTheme="minorHAnsi" w:eastAsia="Wingdings" w:hAnsiTheme="minorHAnsi" w:cstheme="minorHAnsi"/>
          <w:color w:val="E36C0A" w:themeColor="accent6" w:themeShade="BF"/>
          <w:sz w:val="22"/>
          <w:szCs w:val="22"/>
          <w:u w:val="single"/>
          <w:vertAlign w:val="superscript"/>
        </w:rPr>
      </w:pPr>
      <w:r w:rsidRPr="003A27E0">
        <w:rPr>
          <w:rFonts w:asciiTheme="minorHAnsi" w:eastAsia="Arial" w:hAnsiTheme="minorHAnsi" w:cstheme="minorHAnsi"/>
          <w:b/>
          <w:color w:val="E36C0A" w:themeColor="accent6" w:themeShade="BF"/>
          <w:sz w:val="22"/>
          <w:szCs w:val="22"/>
          <w:u w:val="single"/>
        </w:rPr>
        <w:t xml:space="preserve">Toxicité </w:t>
      </w:r>
      <w:r w:rsidRPr="003A27E0">
        <w:rPr>
          <w:rFonts w:asciiTheme="minorHAnsi" w:eastAsia="Arial" w:hAnsiTheme="minorHAnsi" w:cstheme="minorHAnsi"/>
          <w:color w:val="E36C0A" w:themeColor="accent6" w:themeShade="BF"/>
          <w:sz w:val="22"/>
          <w:szCs w:val="22"/>
          <w:u w:val="single"/>
        </w:rPr>
        <w:t>:</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leucopénie, thrombopénie, signes digestifs :nausées, vomissements et constipation, douleurs abdominales, Alopécie.</w:t>
      </w:r>
    </w:p>
    <w:p w:rsidR="009B286E" w:rsidRDefault="009B286E" w:rsidP="009B286E">
      <w:pPr>
        <w:rPr>
          <w:rFonts w:asciiTheme="minorHAnsi" w:eastAsia="Times New Roman" w:hAnsiTheme="minorHAnsi" w:cstheme="minorHAnsi"/>
          <w:sz w:val="22"/>
          <w:szCs w:val="22"/>
        </w:rPr>
      </w:pPr>
    </w:p>
    <w:p w:rsidR="003A27E0" w:rsidRDefault="003A27E0" w:rsidP="009B286E">
      <w:pPr>
        <w:rPr>
          <w:rFonts w:asciiTheme="minorHAnsi" w:eastAsia="Times New Roman" w:hAnsiTheme="minorHAnsi" w:cstheme="minorHAnsi"/>
          <w:sz w:val="22"/>
          <w:szCs w:val="22"/>
        </w:rPr>
      </w:pPr>
    </w:p>
    <w:p w:rsidR="003A27E0" w:rsidRDefault="003A27E0" w:rsidP="009B286E">
      <w:pPr>
        <w:rPr>
          <w:rFonts w:asciiTheme="minorHAnsi" w:eastAsia="Times New Roman" w:hAnsiTheme="minorHAnsi" w:cstheme="minorHAnsi"/>
          <w:sz w:val="22"/>
          <w:szCs w:val="22"/>
        </w:rPr>
      </w:pPr>
    </w:p>
    <w:p w:rsidR="003A27E0" w:rsidRDefault="003A27E0" w:rsidP="009B286E">
      <w:pPr>
        <w:rPr>
          <w:rFonts w:asciiTheme="minorHAnsi" w:eastAsia="Times New Roman" w:hAnsiTheme="minorHAnsi" w:cstheme="minorHAnsi"/>
          <w:sz w:val="22"/>
          <w:szCs w:val="22"/>
        </w:rPr>
      </w:pPr>
    </w:p>
    <w:p w:rsidR="003A27E0" w:rsidRPr="00A63E93" w:rsidRDefault="003A27E0" w:rsidP="009B286E">
      <w:pPr>
        <w:rPr>
          <w:rFonts w:asciiTheme="minorHAnsi" w:eastAsia="Times New Roman" w:hAnsiTheme="minorHAnsi" w:cstheme="minorHAnsi"/>
          <w:sz w:val="22"/>
          <w:szCs w:val="22"/>
        </w:rPr>
      </w:pPr>
    </w:p>
    <w:p w:rsidR="009B286E" w:rsidRPr="003A27E0" w:rsidRDefault="009B286E" w:rsidP="003A27E0">
      <w:pPr>
        <w:rPr>
          <w:rFonts w:asciiTheme="minorHAnsi" w:eastAsia="Arial" w:hAnsiTheme="minorHAnsi" w:cstheme="minorHAnsi"/>
          <w:b/>
          <w:color w:val="0070C0"/>
          <w:sz w:val="22"/>
          <w:szCs w:val="22"/>
        </w:rPr>
      </w:pPr>
      <w:r w:rsidRPr="003A27E0">
        <w:rPr>
          <w:rFonts w:asciiTheme="minorHAnsi" w:eastAsia="Arial" w:hAnsiTheme="minorHAnsi" w:cstheme="minorHAnsi"/>
          <w:b/>
          <w:color w:val="0070C0"/>
          <w:sz w:val="22"/>
          <w:szCs w:val="22"/>
        </w:rPr>
        <w:t>2.VINORELBINE :</w:t>
      </w:r>
      <w:r w:rsidR="003A27E0" w:rsidRPr="003A27E0">
        <w:rPr>
          <w:rFonts w:asciiTheme="minorHAnsi" w:eastAsia="Arial" w:hAnsiTheme="minorHAnsi" w:cstheme="minorHAnsi"/>
          <w:b/>
          <w:color w:val="0070C0"/>
          <w:sz w:val="22"/>
          <w:szCs w:val="22"/>
        </w:rPr>
        <w:t xml:space="preserve"> 5'</w:t>
      </w:r>
      <w:r w:rsidRPr="003A27E0">
        <w:rPr>
          <w:rFonts w:asciiTheme="minorHAnsi" w:eastAsia="Arial" w:hAnsiTheme="minorHAnsi" w:cstheme="minorHAnsi"/>
          <w:b/>
          <w:color w:val="0070C0"/>
          <w:sz w:val="22"/>
          <w:szCs w:val="22"/>
        </w:rPr>
        <w:t>-</w:t>
      </w:r>
      <w:r w:rsidR="003A27E0" w:rsidRPr="003A27E0">
        <w:rPr>
          <w:rFonts w:asciiTheme="minorHAnsi" w:eastAsia="Arial" w:hAnsiTheme="minorHAnsi" w:cstheme="minorHAnsi"/>
          <w:b/>
          <w:color w:val="0070C0"/>
          <w:sz w:val="22"/>
          <w:szCs w:val="22"/>
        </w:rPr>
        <w:t>NORANHYDROVINBLASTINE(DCI)</w:t>
      </w:r>
      <w:r w:rsidRPr="003A27E0">
        <w:rPr>
          <w:rFonts w:asciiTheme="minorHAnsi" w:eastAsia="Arial" w:hAnsiTheme="minorHAnsi" w:cstheme="minorHAnsi"/>
          <w:b/>
          <w:color w:val="0070C0"/>
          <w:sz w:val="22"/>
          <w:szCs w:val="22"/>
        </w:rPr>
        <w:t>:</w:t>
      </w:r>
      <w:r w:rsidR="003A27E0" w:rsidRPr="003A27E0">
        <w:rPr>
          <w:rFonts w:asciiTheme="minorHAnsi" w:eastAsia="Arial" w:hAnsiTheme="minorHAnsi" w:cstheme="minorHAnsi"/>
          <w:b/>
          <w:color w:val="0070C0"/>
          <w:sz w:val="22"/>
          <w:szCs w:val="22"/>
        </w:rPr>
        <w:t xml:space="preserve"> </w:t>
      </w:r>
      <w:r w:rsidRPr="003A27E0">
        <w:rPr>
          <w:rFonts w:asciiTheme="minorHAnsi" w:eastAsia="Arial" w:hAnsiTheme="minorHAnsi" w:cstheme="minorHAnsi"/>
          <w:b/>
          <w:color w:val="0070C0"/>
          <w:sz w:val="22"/>
          <w:szCs w:val="22"/>
        </w:rPr>
        <w:t>NAVELBINE®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-Préparation :dérivé hémi-synthétique  caractérisé par élimination du C entre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l’azote en 4 et l’indole</w:t>
      </w:r>
    </w:p>
    <w:p w:rsidR="009B286E" w:rsidRPr="003A27E0" w:rsidRDefault="009B286E" w:rsidP="003A27E0">
      <w:pPr>
        <w:rPr>
          <w:rFonts w:asciiTheme="minorHAnsi" w:eastAsia="Arial" w:hAnsiTheme="minorHAnsi" w:cstheme="minorHAnsi"/>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 Indications </w:t>
      </w:r>
      <w:r w:rsidRPr="003A27E0">
        <w:rPr>
          <w:rFonts w:asciiTheme="minorHAnsi" w:eastAsia="Arial" w:hAnsiTheme="minorHAnsi" w:cstheme="minorHAnsi"/>
          <w:b/>
          <w:bCs/>
          <w:color w:val="E36C0A" w:themeColor="accent6" w:themeShade="BF"/>
          <w:sz w:val="22"/>
          <w:szCs w:val="22"/>
          <w:u w:val="single"/>
        </w:rPr>
        <w:t>de VINORELBIN bit</w:t>
      </w:r>
      <w:r w:rsidR="003A27E0" w:rsidRPr="003A27E0">
        <w:rPr>
          <w:rFonts w:asciiTheme="minorHAnsi" w:eastAsia="Arial" w:hAnsiTheme="minorHAnsi" w:cstheme="minorHAnsi"/>
          <w:b/>
          <w:bCs/>
          <w:color w:val="E36C0A" w:themeColor="accent6" w:themeShade="BF"/>
          <w:sz w:val="22"/>
          <w:szCs w:val="22"/>
          <w:u w:val="single"/>
        </w:rPr>
        <w:t>a</w:t>
      </w:r>
      <w:r w:rsidRPr="003A27E0">
        <w:rPr>
          <w:rFonts w:asciiTheme="minorHAnsi" w:eastAsia="Arial" w:hAnsiTheme="minorHAnsi" w:cstheme="minorHAnsi"/>
          <w:b/>
          <w:bCs/>
          <w:color w:val="E36C0A" w:themeColor="accent6" w:themeShade="BF"/>
          <w:sz w:val="22"/>
          <w:szCs w:val="22"/>
          <w:u w:val="single"/>
        </w:rPr>
        <w:t>r</w:t>
      </w:r>
      <w:r w:rsidR="003A27E0" w:rsidRPr="003A27E0">
        <w:rPr>
          <w:rFonts w:asciiTheme="minorHAnsi" w:eastAsia="Arial" w:hAnsiTheme="minorHAnsi" w:cstheme="minorHAnsi"/>
          <w:b/>
          <w:bCs/>
          <w:color w:val="E36C0A" w:themeColor="accent6" w:themeShade="BF"/>
          <w:sz w:val="22"/>
          <w:szCs w:val="22"/>
          <w:u w:val="single"/>
        </w:rPr>
        <w:t>tr</w:t>
      </w:r>
      <w:r w:rsidRPr="003A27E0">
        <w:rPr>
          <w:rFonts w:asciiTheme="minorHAnsi" w:eastAsia="Arial" w:hAnsiTheme="minorHAnsi" w:cstheme="minorHAnsi"/>
          <w:b/>
          <w:bCs/>
          <w:color w:val="E36C0A" w:themeColor="accent6" w:themeShade="BF"/>
          <w:sz w:val="22"/>
          <w:szCs w:val="22"/>
          <w:u w:val="single"/>
        </w:rPr>
        <w:t>ate pour solution injectable</w:t>
      </w:r>
      <w:r w:rsidRPr="003A27E0">
        <w:rPr>
          <w:rFonts w:asciiTheme="minorHAnsi" w:eastAsia="Arial" w:hAnsiTheme="minorHAnsi" w:cstheme="minorHAnsi"/>
          <w:color w:val="E36C0A" w:themeColor="accent6" w:themeShade="BF"/>
          <w:sz w:val="22"/>
          <w:szCs w:val="22"/>
          <w:u w:val="single"/>
        </w:rPr>
        <w:t>:</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-cancers bronchique non à petites cellules : plus efficace que vindésine dans les formes inopérables améliore la moyenne de survie des malades surtout quand associée au docetaxel)</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-Cancer du sein métastatique (surtout quand associé au paclitaxel)</w:t>
      </w:r>
    </w:p>
    <w:p w:rsidR="009B286E" w:rsidRPr="003A27E0" w:rsidRDefault="009B286E" w:rsidP="009B286E">
      <w:pPr>
        <w:rPr>
          <w:rFonts w:asciiTheme="minorHAnsi" w:eastAsia="Arial" w:hAnsiTheme="minorHAnsi" w:cstheme="minorHAnsi"/>
          <w:b/>
          <w:color w:val="E36C0A" w:themeColor="accent6" w:themeShade="BF"/>
          <w:sz w:val="22"/>
          <w:szCs w:val="22"/>
          <w:u w:val="single"/>
        </w:rPr>
      </w:pPr>
      <w:r w:rsidRPr="00A63E93">
        <w:rPr>
          <w:rFonts w:asciiTheme="minorHAnsi" w:eastAsia="Arial" w:hAnsiTheme="minorHAnsi" w:cstheme="minorHAnsi"/>
          <w:b/>
          <w:sz w:val="22"/>
          <w:szCs w:val="22"/>
        </w:rPr>
        <w:t xml:space="preserve"> </w:t>
      </w:r>
      <w:r w:rsidRPr="003A27E0">
        <w:rPr>
          <w:rFonts w:asciiTheme="minorHAnsi" w:eastAsia="Arial" w:hAnsiTheme="minorHAnsi" w:cstheme="minorHAnsi"/>
          <w:b/>
          <w:color w:val="E36C0A" w:themeColor="accent6" w:themeShade="BF"/>
          <w:sz w:val="22"/>
          <w:szCs w:val="22"/>
          <w:u w:val="single"/>
        </w:rPr>
        <w:t>Posologie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u w:val="single"/>
        </w:rPr>
        <w:t xml:space="preserve">-En monothérapie </w:t>
      </w:r>
      <w:r w:rsidRPr="00A63E93">
        <w:rPr>
          <w:rFonts w:asciiTheme="minorHAnsi" w:eastAsia="Arial" w:hAnsiTheme="minorHAnsi" w:cstheme="minorHAnsi"/>
          <w:sz w:val="22"/>
          <w:szCs w:val="22"/>
        </w:rPr>
        <w:t>:</w:t>
      </w:r>
      <w:r w:rsidR="003A27E0">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25-30 mg/m2/semaine(Adulte) IV</w:t>
      </w:r>
    </w:p>
    <w:p w:rsidR="009B286E" w:rsidRPr="00A63E93" w:rsidRDefault="009B286E" w:rsidP="009B286E">
      <w:pPr>
        <w:rPr>
          <w:rFonts w:asciiTheme="minorHAnsi" w:eastAsia="Arial" w:hAnsiTheme="minorHAnsi" w:cstheme="minorHAnsi"/>
          <w:sz w:val="22"/>
          <w:szCs w:val="22"/>
        </w:rPr>
      </w:pPr>
      <w:r w:rsidRPr="003A27E0">
        <w:rPr>
          <w:rFonts w:asciiTheme="minorHAnsi" w:eastAsia="Arial" w:hAnsiTheme="minorHAnsi" w:cstheme="minorHAnsi"/>
          <w:sz w:val="22"/>
          <w:szCs w:val="22"/>
          <w:u w:val="single"/>
        </w:rPr>
        <w:t>-En poly-chimiothérapie :</w:t>
      </w:r>
      <w:r w:rsidRPr="00A63E93">
        <w:rPr>
          <w:rFonts w:asciiTheme="minorHAnsi" w:eastAsia="Arial" w:hAnsiTheme="minorHAnsi" w:cstheme="minorHAnsi"/>
          <w:sz w:val="22"/>
          <w:szCs w:val="22"/>
        </w:rPr>
        <w:t xml:space="preserve"> doses et fréquences variables</w:t>
      </w:r>
    </w:p>
    <w:p w:rsidR="009B286E" w:rsidRPr="003A27E0" w:rsidRDefault="009B286E" w:rsidP="003A27E0">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 Indications :de VINORELBIN </w:t>
      </w:r>
      <w:r w:rsidR="003A27E0" w:rsidRPr="003A27E0">
        <w:rPr>
          <w:rFonts w:asciiTheme="minorHAnsi" w:eastAsia="Arial" w:hAnsiTheme="minorHAnsi" w:cstheme="minorHAnsi"/>
          <w:b/>
          <w:color w:val="E36C0A" w:themeColor="accent6" w:themeShade="BF"/>
          <w:sz w:val="22"/>
          <w:szCs w:val="22"/>
          <w:u w:val="single"/>
        </w:rPr>
        <w:t>bitartrate</w:t>
      </w:r>
      <w:r w:rsidRPr="003A27E0">
        <w:rPr>
          <w:rFonts w:asciiTheme="minorHAnsi" w:eastAsia="Arial" w:hAnsiTheme="minorHAnsi" w:cstheme="minorHAnsi"/>
          <w:b/>
          <w:color w:val="E36C0A" w:themeColor="accent6" w:themeShade="BF"/>
          <w:sz w:val="22"/>
          <w:szCs w:val="22"/>
          <w:u w:val="single"/>
        </w:rPr>
        <w:t xml:space="preserve"> en capsule pour voie orale: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Identiques à celles de la forme Sol° injectable en mono ou poly-chimiothérapie.</w:t>
      </w:r>
    </w:p>
    <w:p w:rsidR="009B286E" w:rsidRPr="003A27E0" w:rsidRDefault="009B286E" w:rsidP="009B286E">
      <w:pPr>
        <w:rPr>
          <w:rFonts w:asciiTheme="minorHAnsi" w:eastAsia="Arial" w:hAnsiTheme="minorHAnsi" w:cstheme="minorHAnsi"/>
          <w:b/>
          <w:color w:val="E36C0A" w:themeColor="accent6" w:themeShade="BF"/>
          <w:sz w:val="22"/>
          <w:szCs w:val="22"/>
          <w:u w:val="single"/>
        </w:rPr>
      </w:pPr>
      <w:r w:rsidRPr="00A63E93">
        <w:rPr>
          <w:rFonts w:asciiTheme="minorHAnsi" w:eastAsia="Arial" w:hAnsiTheme="minorHAnsi" w:cstheme="minorHAnsi"/>
          <w:b/>
          <w:sz w:val="22"/>
          <w:szCs w:val="22"/>
        </w:rPr>
        <w:t xml:space="preserve"> </w:t>
      </w:r>
      <w:r w:rsidRPr="003A27E0">
        <w:rPr>
          <w:rFonts w:asciiTheme="minorHAnsi" w:eastAsia="Arial" w:hAnsiTheme="minorHAnsi" w:cstheme="minorHAnsi"/>
          <w:b/>
          <w:color w:val="E36C0A" w:themeColor="accent6" w:themeShade="BF"/>
          <w:sz w:val="22"/>
          <w:szCs w:val="22"/>
          <w:u w:val="single"/>
        </w:rPr>
        <w:t>Posologie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60mg/m2 de SC</w:t>
      </w:r>
    </w:p>
    <w:p w:rsidR="009B286E" w:rsidRPr="003A27E0" w:rsidRDefault="009B286E" w:rsidP="009B286E">
      <w:pPr>
        <w:rPr>
          <w:rFonts w:asciiTheme="minorHAnsi" w:eastAsia="Arial" w:hAnsiTheme="minorHAnsi" w:cstheme="minorHAnsi"/>
          <w:b/>
          <w:color w:val="E36C0A" w:themeColor="accent6" w:themeShade="BF"/>
          <w:sz w:val="22"/>
          <w:szCs w:val="22"/>
          <w:u w:val="single"/>
        </w:rPr>
      </w:pPr>
      <w:r w:rsidRPr="003A27E0">
        <w:rPr>
          <w:rFonts w:asciiTheme="minorHAnsi" w:eastAsia="Arial" w:hAnsiTheme="minorHAnsi" w:cstheme="minorHAnsi"/>
          <w:b/>
          <w:color w:val="E36C0A" w:themeColor="accent6" w:themeShade="BF"/>
          <w:sz w:val="22"/>
          <w:szCs w:val="22"/>
          <w:u w:val="single"/>
        </w:rPr>
        <w:t xml:space="preserve"> Toxicité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-neurologique limitée : constipation par parésie (paralysie légère ou incomplète).</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Perte de réflexes ostéotendineux , fréquence des effets sévères plus faibles que celles de vindésine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-hématologique (granulopénie) :importante, limite la posologie</w:t>
      </w:r>
    </w:p>
    <w:p w:rsidR="009B286E" w:rsidRPr="00A63E93" w:rsidRDefault="009B286E" w:rsidP="009B286E">
      <w:pPr>
        <w:rPr>
          <w:rFonts w:asciiTheme="minorHAnsi" w:eastAsia="Arial" w:hAnsiTheme="minorHAnsi" w:cstheme="minorHAnsi"/>
          <w:sz w:val="22"/>
          <w:szCs w:val="22"/>
        </w:rPr>
      </w:pPr>
      <w:r w:rsidRPr="003A27E0">
        <w:rPr>
          <w:rFonts w:asciiTheme="minorHAnsi" w:eastAsia="Arial" w:hAnsiTheme="minorHAnsi" w:cstheme="minorHAnsi"/>
          <w:b/>
          <w:bCs/>
          <w:color w:val="E36C0A" w:themeColor="accent6" w:themeShade="BF"/>
          <w:sz w:val="22"/>
          <w:szCs w:val="22"/>
          <w:u w:val="single"/>
        </w:rPr>
        <w:t>Contre-Indications</w:t>
      </w:r>
      <w:r w:rsidRPr="003A27E0">
        <w:rPr>
          <w:rFonts w:asciiTheme="minorHAnsi" w:eastAsia="Arial" w:hAnsiTheme="minorHAnsi" w:cstheme="minorHAnsi"/>
          <w:color w:val="E36C0A" w:themeColor="accent6" w:themeShade="BF"/>
          <w:sz w:val="22"/>
          <w:szCs w:val="22"/>
          <w:u w:val="single"/>
        </w:rPr>
        <w:t xml:space="preserve"> :</w:t>
      </w:r>
      <w:r w:rsidRPr="00A63E93">
        <w:rPr>
          <w:rFonts w:asciiTheme="minorHAnsi" w:eastAsia="Arial" w:hAnsiTheme="minorHAnsi" w:cstheme="minorHAnsi"/>
          <w:sz w:val="22"/>
          <w:szCs w:val="22"/>
        </w:rPr>
        <w:t>insuffisance hépatique sévère, femme enceinte ou allaitante</w:t>
      </w:r>
    </w:p>
    <w:p w:rsidR="009B286E" w:rsidRDefault="009B286E" w:rsidP="009B286E">
      <w:pPr>
        <w:rPr>
          <w:rFonts w:asciiTheme="minorHAnsi" w:eastAsia="Times New Roman" w:hAnsiTheme="minorHAnsi" w:cstheme="minorHAnsi"/>
          <w:sz w:val="22"/>
          <w:szCs w:val="22"/>
        </w:rPr>
      </w:pPr>
    </w:p>
    <w:p w:rsidR="003A27E0" w:rsidRPr="00A63E93" w:rsidRDefault="003A27E0" w:rsidP="009B286E">
      <w:pPr>
        <w:rPr>
          <w:rFonts w:asciiTheme="minorHAnsi" w:eastAsia="Times New Roman" w:hAnsiTheme="minorHAnsi" w:cstheme="minorHAnsi"/>
          <w:sz w:val="22"/>
          <w:szCs w:val="22"/>
        </w:rPr>
      </w:pPr>
    </w:p>
    <w:p w:rsidR="009B286E" w:rsidRPr="00A63E93" w:rsidRDefault="009B286E" w:rsidP="009B286E">
      <w:pPr>
        <w:rPr>
          <w:rFonts w:asciiTheme="minorHAnsi" w:eastAsia="Arial" w:hAnsiTheme="minorHAnsi" w:cstheme="minorHAnsi"/>
          <w:b/>
          <w:sz w:val="22"/>
          <w:szCs w:val="22"/>
        </w:rPr>
      </w:pPr>
      <w:r w:rsidRPr="003A27E0">
        <w:rPr>
          <w:rFonts w:asciiTheme="minorHAnsi" w:eastAsia="Arial" w:hAnsiTheme="minorHAnsi" w:cstheme="minorHAnsi"/>
          <w:b/>
          <w:color w:val="006600"/>
          <w:sz w:val="24"/>
          <w:szCs w:val="24"/>
          <w:u w:val="single"/>
        </w:rPr>
        <w:t>C-</w:t>
      </w:r>
      <w:r w:rsidR="003A27E0" w:rsidRPr="003A27E0">
        <w:rPr>
          <w:rFonts w:asciiTheme="minorHAnsi" w:eastAsia="Arial" w:hAnsiTheme="minorHAnsi" w:cstheme="minorHAnsi"/>
          <w:b/>
          <w:color w:val="006600"/>
          <w:sz w:val="24"/>
          <w:szCs w:val="24"/>
          <w:u w:val="single"/>
        </w:rPr>
        <w:t>AUTRE DERIVE HEMI-SYNTHETIQUE</w:t>
      </w:r>
      <w:r w:rsidR="003A27E0">
        <w:rPr>
          <w:rFonts w:asciiTheme="minorHAnsi" w:eastAsia="Arial" w:hAnsiTheme="minorHAnsi" w:cstheme="minorHAnsi"/>
          <w:b/>
          <w:sz w:val="22"/>
          <w:szCs w:val="22"/>
        </w:rPr>
        <w:t xml:space="preserve"> (</w:t>
      </w:r>
      <w:r w:rsidRPr="00A63E93">
        <w:rPr>
          <w:rFonts w:asciiTheme="minorHAnsi" w:eastAsia="Arial" w:hAnsiTheme="minorHAnsi" w:cstheme="minorHAnsi"/>
          <w:b/>
          <w:sz w:val="22"/>
          <w:szCs w:val="22"/>
        </w:rPr>
        <w:t>commercialisé en France depuis 2010</w:t>
      </w:r>
      <w:r w:rsidR="003A27E0">
        <w:rPr>
          <w:rFonts w:asciiTheme="minorHAnsi" w:eastAsia="Arial" w:hAnsiTheme="minorHAnsi" w:cstheme="minorHAnsi"/>
          <w:b/>
          <w:sz w:val="22"/>
          <w:szCs w:val="22"/>
        </w:rPr>
        <w:t xml:space="preserve"> </w:t>
      </w:r>
      <w:r w:rsidRPr="00A63E93">
        <w:rPr>
          <w:rFonts w:asciiTheme="minorHAnsi" w:eastAsia="Arial" w:hAnsiTheme="minorHAnsi" w:cstheme="minorHAnsi"/>
          <w:b/>
          <w:sz w:val="22"/>
          <w:szCs w:val="22"/>
        </w:rPr>
        <w:t>)</w:t>
      </w:r>
    </w:p>
    <w:p w:rsidR="003A27E0" w:rsidRPr="003A27E0" w:rsidRDefault="009B286E" w:rsidP="003A27E0">
      <w:pPr>
        <w:rPr>
          <w:rFonts w:asciiTheme="minorHAnsi" w:eastAsia="Arial" w:hAnsiTheme="minorHAnsi" w:cstheme="minorHAnsi"/>
          <w:sz w:val="22"/>
          <w:szCs w:val="22"/>
        </w:rPr>
      </w:pPr>
      <w:r w:rsidRPr="003A27E0">
        <w:rPr>
          <w:rFonts w:asciiTheme="minorHAnsi" w:eastAsia="Arial" w:hAnsiTheme="minorHAnsi" w:cstheme="minorHAnsi"/>
          <w:b/>
          <w:bCs/>
          <w:sz w:val="22"/>
          <w:szCs w:val="22"/>
        </w:rPr>
        <w:t>VINFULAMINE</w:t>
      </w:r>
      <w:r w:rsidRPr="00A63E93">
        <w:rPr>
          <w:rFonts w:asciiTheme="minorHAnsi" w:eastAsia="Arial" w:hAnsiTheme="minorHAnsi" w:cstheme="minorHAnsi"/>
          <w:sz w:val="22"/>
          <w:szCs w:val="22"/>
        </w:rPr>
        <w:t>:</w:t>
      </w:r>
      <w:r w:rsidR="003A27E0">
        <w:rPr>
          <w:rFonts w:asciiTheme="minorHAnsi" w:eastAsia="Arial" w:hAnsiTheme="minorHAnsi" w:cstheme="minorHAnsi"/>
          <w:sz w:val="22"/>
          <w:szCs w:val="22"/>
        </w:rPr>
        <w:t xml:space="preserve"> </w:t>
      </w:r>
      <w:r w:rsidRPr="00A63E93">
        <w:rPr>
          <w:rFonts w:asciiTheme="minorHAnsi" w:eastAsia="Arial" w:hAnsiTheme="minorHAnsi" w:cstheme="minorHAnsi"/>
          <w:sz w:val="22"/>
          <w:szCs w:val="22"/>
        </w:rPr>
        <w:t xml:space="preserve"> dérivé préparé à partir de la vinorelbine et indiqué dans le traitement des carcinomes urothéliaux à cellules transitionnelles à un stade avancé ou métastasique après echec d'un Traitement à base de cisplatine.</w:t>
      </w:r>
    </w:p>
    <w:p w:rsidR="003A27E0" w:rsidRDefault="009B286E" w:rsidP="009B286E">
      <w:pPr>
        <w:rPr>
          <w:rFonts w:asciiTheme="minorHAnsi" w:eastAsia="Arial" w:hAnsiTheme="minorHAnsi" w:cstheme="minorHAnsi"/>
          <w:sz w:val="22"/>
          <w:szCs w:val="22"/>
        </w:rPr>
      </w:pPr>
      <w:r w:rsidRPr="003A27E0">
        <w:rPr>
          <w:rFonts w:asciiTheme="minorHAnsi" w:eastAsia="Arial" w:hAnsiTheme="minorHAnsi" w:cstheme="minorHAnsi"/>
          <w:b/>
          <w:bCs/>
          <w:color w:val="E36C0A" w:themeColor="accent6" w:themeShade="BF"/>
          <w:sz w:val="22"/>
          <w:szCs w:val="22"/>
          <w:u w:val="single"/>
        </w:rPr>
        <w:t>Posologie:</w:t>
      </w:r>
      <w:r w:rsidRPr="00A63E93">
        <w:rPr>
          <w:rFonts w:asciiTheme="minorHAnsi" w:eastAsia="Arial" w:hAnsiTheme="minorHAnsi" w:cstheme="minorHAnsi"/>
          <w:sz w:val="22"/>
          <w:szCs w:val="22"/>
        </w:rPr>
        <w:t xml:space="preserve"> </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320 mg/m2 toutes les 3semaines (voie IV)</w:t>
      </w:r>
    </w:p>
    <w:p w:rsidR="003A27E0" w:rsidRDefault="009B286E" w:rsidP="009B286E">
      <w:pPr>
        <w:rPr>
          <w:rFonts w:asciiTheme="minorHAnsi" w:eastAsia="Arial" w:hAnsiTheme="minorHAnsi" w:cstheme="minorHAnsi"/>
          <w:b/>
          <w:bCs/>
          <w:color w:val="E36C0A" w:themeColor="accent6" w:themeShade="BF"/>
          <w:sz w:val="22"/>
          <w:szCs w:val="22"/>
          <w:u w:val="single"/>
        </w:rPr>
      </w:pPr>
      <w:r w:rsidRPr="003A27E0">
        <w:rPr>
          <w:rFonts w:asciiTheme="minorHAnsi" w:eastAsia="Arial" w:hAnsiTheme="minorHAnsi" w:cstheme="minorHAnsi"/>
          <w:b/>
          <w:bCs/>
          <w:color w:val="E36C0A" w:themeColor="accent6" w:themeShade="BF"/>
          <w:sz w:val="22"/>
          <w:szCs w:val="22"/>
          <w:u w:val="single"/>
        </w:rPr>
        <w:t>Efffets indésirables:</w:t>
      </w:r>
    </w:p>
    <w:p w:rsidR="009B286E" w:rsidRPr="00A63E93" w:rsidRDefault="009B286E" w:rsidP="009B286E">
      <w:pPr>
        <w:rPr>
          <w:rFonts w:asciiTheme="minorHAnsi" w:eastAsia="Arial" w:hAnsiTheme="minorHAnsi" w:cstheme="minorHAnsi"/>
          <w:sz w:val="22"/>
          <w:szCs w:val="22"/>
        </w:rPr>
      </w:pPr>
      <w:r w:rsidRPr="00A63E93">
        <w:rPr>
          <w:rFonts w:asciiTheme="minorHAnsi" w:eastAsia="Arial" w:hAnsiTheme="minorHAnsi" w:cstheme="minorHAnsi"/>
          <w:sz w:val="22"/>
          <w:szCs w:val="22"/>
        </w:rPr>
        <w:t xml:space="preserve"> idem celui des autres alcaloides très fréquentes et souvent graves.</w:t>
      </w:r>
    </w:p>
    <w:p w:rsidR="004B69C8" w:rsidRPr="00A63E93" w:rsidRDefault="004B69C8"/>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AC7990">
      <w:r>
        <w:rPr>
          <w:noProof/>
        </w:rPr>
        <w:lastRenderedPageBreak/>
        <w:pict>
          <v:shape id="_x0000_s1031" type="#_x0000_t202" style="position:absolute;margin-left:107.4pt;margin-top:-18.6pt;width:588pt;height:55.5pt;z-index:251664384" strokeweight="1.5pt">
            <v:textbox>
              <w:txbxContent>
                <w:p w:rsidR="00AC7990" w:rsidRPr="00832FDC" w:rsidRDefault="00AC7990"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7030A0"/>
                      <w:sz w:val="40"/>
                      <w:szCs w:val="40"/>
                    </w:rPr>
                    <w:t xml:space="preserve">PODOPHYLLE: </w:t>
                  </w:r>
                  <w:r w:rsidRPr="00832FDC">
                    <w:rPr>
                      <w:rFonts w:asciiTheme="majorBidi" w:hAnsiTheme="majorBidi" w:cstheme="majorBidi"/>
                      <w:b/>
                      <w:bCs/>
                      <w:color w:val="5F497A" w:themeColor="accent4" w:themeShade="BF"/>
                      <w:sz w:val="40"/>
                      <w:szCs w:val="40"/>
                    </w:rPr>
                    <w:t>PODOPHYLLUM PELTATUM, L</w:t>
                  </w:r>
                </w:p>
                <w:p w:rsidR="00AC7990" w:rsidRPr="00832FDC" w:rsidRDefault="00AC7990" w:rsidP="00832FDC">
                  <w:pPr>
                    <w:jc w:val="center"/>
                    <w:rPr>
                      <w:rFonts w:asciiTheme="majorBidi" w:hAnsiTheme="majorBidi" w:cstheme="majorBidi"/>
                      <w:b/>
                      <w:bCs/>
                      <w:color w:val="5F497A" w:themeColor="accent4" w:themeShade="BF"/>
                      <w:sz w:val="40"/>
                      <w:szCs w:val="40"/>
                    </w:rPr>
                  </w:pPr>
                  <w:r w:rsidRPr="00832FDC">
                    <w:rPr>
                      <w:rFonts w:asciiTheme="majorBidi" w:hAnsiTheme="majorBidi" w:cstheme="majorBidi"/>
                      <w:b/>
                      <w:bCs/>
                      <w:color w:val="5F497A" w:themeColor="accent4" w:themeShade="BF"/>
                      <w:sz w:val="40"/>
                      <w:szCs w:val="40"/>
                    </w:rPr>
                    <w:t>(BERBERIDACEAE)</w:t>
                  </w:r>
                </w:p>
              </w:txbxContent>
            </v:textbox>
          </v:shape>
        </w:pict>
      </w:r>
    </w:p>
    <w:p w:rsidR="005D3011" w:rsidRPr="00A63E93" w:rsidRDefault="005D3011"/>
    <w:p w:rsidR="005D3011" w:rsidRPr="00A63E93" w:rsidRDefault="005D3011"/>
    <w:p w:rsidR="005D3011" w:rsidRPr="00A63E93" w:rsidRDefault="005D3011"/>
    <w:p w:rsidR="00AC7990" w:rsidRPr="00A63E93" w:rsidRDefault="00AC7990"/>
    <w:p w:rsidR="005D3011" w:rsidRDefault="00D80F35" w:rsidP="00D80F35">
      <w:pPr>
        <w:rPr>
          <w:rFonts w:asciiTheme="minorHAnsi" w:eastAsia="Arial" w:hAnsiTheme="minorHAnsi" w:cstheme="minorHAnsi"/>
          <w:b/>
          <w:bCs/>
          <w:i/>
          <w:iCs/>
          <w:sz w:val="22"/>
          <w:szCs w:val="22"/>
        </w:rPr>
      </w:pPr>
      <w:r w:rsidRPr="00D80F35">
        <w:rPr>
          <w:rFonts w:asciiTheme="minorHAnsi" w:eastAsia="Arial" w:hAnsiTheme="minorHAnsi" w:cstheme="minorHAnsi"/>
          <w:b/>
          <w:bCs/>
          <w:color w:val="984806" w:themeColor="accent6" w:themeShade="80"/>
          <w:sz w:val="22"/>
          <w:szCs w:val="22"/>
        </w:rPr>
        <w:t>Drogue</w:t>
      </w:r>
      <w:r w:rsidR="005D3011" w:rsidRPr="00D80F35">
        <w:rPr>
          <w:rFonts w:asciiTheme="minorHAnsi" w:eastAsia="Arial" w:hAnsiTheme="minorHAnsi" w:cstheme="minorHAnsi"/>
          <w:b/>
          <w:bCs/>
          <w:color w:val="984806" w:themeColor="accent6" w:themeShade="80"/>
          <w:sz w:val="22"/>
          <w:szCs w:val="22"/>
        </w:rPr>
        <w:t>:</w:t>
      </w:r>
      <w:r w:rsidR="005D3011" w:rsidRPr="00D80F35">
        <w:rPr>
          <w:rFonts w:asciiTheme="minorHAnsi" w:eastAsia="Arial" w:hAnsiTheme="minorHAnsi" w:cstheme="minorHAnsi"/>
          <w:b/>
          <w:bCs/>
          <w:sz w:val="22"/>
          <w:szCs w:val="22"/>
        </w:rPr>
        <w:t xml:space="preserve"> </w:t>
      </w:r>
      <w:r w:rsidR="005D3011" w:rsidRPr="00D80F35">
        <w:rPr>
          <w:rFonts w:asciiTheme="minorHAnsi" w:eastAsia="Arial" w:hAnsiTheme="minorHAnsi" w:cstheme="minorHAnsi"/>
          <w:b/>
          <w:bCs/>
          <w:i/>
          <w:iCs/>
          <w:sz w:val="22"/>
          <w:szCs w:val="22"/>
        </w:rPr>
        <w:t>Rhizome</w:t>
      </w:r>
      <w:r w:rsidRPr="00D80F35">
        <w:rPr>
          <w:rFonts w:asciiTheme="minorHAnsi" w:eastAsia="Arial" w:hAnsiTheme="minorHAnsi" w:cstheme="minorHAnsi"/>
          <w:b/>
          <w:bCs/>
          <w:i/>
          <w:iCs/>
          <w:sz w:val="22"/>
          <w:szCs w:val="22"/>
        </w:rPr>
        <w:t xml:space="preserve"> </w:t>
      </w:r>
    </w:p>
    <w:p w:rsidR="00D80F35" w:rsidRPr="00D80F35" w:rsidRDefault="00D80F35" w:rsidP="00D80F35">
      <w:pPr>
        <w:rPr>
          <w:rFonts w:asciiTheme="minorHAnsi" w:eastAsia="Arial" w:hAnsiTheme="minorHAnsi" w:cstheme="minorHAnsi"/>
          <w:b/>
          <w:bCs/>
          <w:sz w:val="22"/>
          <w:szCs w:val="22"/>
        </w:rPr>
      </w:pPr>
    </w:p>
    <w:p w:rsidR="005D3011" w:rsidRPr="00D80F35" w:rsidRDefault="005D3011" w:rsidP="00D80F35">
      <w:pPr>
        <w:pStyle w:val="Titre1"/>
        <w:rPr>
          <w:rFonts w:eastAsia="Arial"/>
        </w:rPr>
      </w:pPr>
      <w:r w:rsidRPr="00D80F35">
        <w:rPr>
          <w:rFonts w:eastAsia="Arial"/>
        </w:rPr>
        <w:t>1. ÉTUDE BOTANIQUE</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Petite plante herbacée vivace par un rhizome présentant un tige aériennes de 30 cm terminée par 2 feuilles opposées, palmatilobées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Fleur blanche à l’aisselle des feuilles</w:t>
      </w:r>
    </w:p>
    <w:p w:rsidR="005D3011" w:rsidRPr="00D80F35" w:rsidRDefault="005D3011" w:rsidP="005D3011">
      <w:pPr>
        <w:rPr>
          <w:rFonts w:asciiTheme="minorHAnsi" w:eastAsia="Times New Roman" w:hAnsiTheme="minorHAnsi" w:cstheme="minorHAnsi"/>
          <w:sz w:val="22"/>
          <w:szCs w:val="22"/>
        </w:rPr>
      </w:pPr>
    </w:p>
    <w:p w:rsidR="005D3011" w:rsidRPr="00D80F35" w:rsidRDefault="005D3011" w:rsidP="00D80F35">
      <w:pPr>
        <w:pStyle w:val="Titre1"/>
        <w:rPr>
          <w:rFonts w:eastAsia="Arial"/>
        </w:rPr>
      </w:pPr>
      <w:r w:rsidRPr="00D80F35">
        <w:rPr>
          <w:rFonts w:eastAsia="Arial"/>
        </w:rPr>
        <w:t>2. COMPOSITION CHIMIQUE</w:t>
      </w:r>
    </w:p>
    <w:p w:rsidR="00274AA1"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Résine (3-6%</w:t>
      </w:r>
      <w:r w:rsidR="00D80F35">
        <w:rPr>
          <w:rFonts w:asciiTheme="minorHAnsi" w:eastAsia="Arial" w:hAnsiTheme="minorHAnsi" w:cstheme="minorHAnsi"/>
          <w:sz w:val="22"/>
          <w:szCs w:val="22"/>
        </w:rPr>
        <w:t xml:space="preserve"> du poids du rhizome</w:t>
      </w:r>
      <w:r w:rsidRPr="00D80F35">
        <w:rPr>
          <w:rFonts w:asciiTheme="minorHAnsi" w:eastAsia="Arial" w:hAnsiTheme="minorHAnsi" w:cstheme="minorHAnsi"/>
          <w:sz w:val="22"/>
          <w:szCs w:val="22"/>
        </w:rPr>
        <w:t>) = « podophylline » (obtenue par dilution d’extrait alcoolique dans l’eau éventuel</w:t>
      </w:r>
      <w:r w:rsidR="00D80F35">
        <w:rPr>
          <w:rFonts w:asciiTheme="minorHAnsi" w:eastAsia="Arial" w:hAnsiTheme="minorHAnsi" w:cstheme="minorHAnsi"/>
          <w:sz w:val="22"/>
          <w:szCs w:val="22"/>
        </w:rPr>
        <w:t>l</w:t>
      </w:r>
      <w:r w:rsidR="00274AA1">
        <w:rPr>
          <w:rFonts w:asciiTheme="minorHAnsi" w:eastAsia="Arial" w:hAnsiTheme="minorHAnsi" w:cstheme="minorHAnsi"/>
          <w:sz w:val="22"/>
          <w:szCs w:val="22"/>
        </w:rPr>
        <w:t xml:space="preserve">ement acidifié) constituée de </w:t>
      </w:r>
    </w:p>
    <w:p w:rsidR="005D3011" w:rsidRPr="00D80F35" w:rsidRDefault="00274AA1" w:rsidP="005D3011">
      <w:pPr>
        <w:rPr>
          <w:rFonts w:asciiTheme="minorHAnsi" w:eastAsia="Arial" w:hAnsiTheme="minorHAnsi" w:cstheme="minorHAnsi"/>
          <w:sz w:val="22"/>
          <w:szCs w:val="22"/>
        </w:rPr>
      </w:pPr>
      <w:r>
        <w:rPr>
          <w:rFonts w:asciiTheme="minorHAnsi" w:eastAsia="Arial" w:hAnsiTheme="minorHAnsi" w:cstheme="minorHAnsi"/>
          <w:sz w:val="22"/>
          <w:szCs w:val="22"/>
        </w:rPr>
        <w:t>1-</w:t>
      </w:r>
      <w:r w:rsidR="00D80F35">
        <w:rPr>
          <w:rFonts w:asciiTheme="minorHAnsi" w:eastAsia="Arial" w:hAnsiTheme="minorHAnsi" w:cstheme="minorHAnsi"/>
          <w:sz w:val="22"/>
          <w:szCs w:val="22"/>
        </w:rPr>
        <w:t>aryltétrahydronaphtalène:</w:t>
      </w:r>
    </w:p>
    <w:p w:rsidR="005D3011" w:rsidRPr="00D80F35" w:rsidRDefault="00274AA1" w:rsidP="00274AA1">
      <w:pPr>
        <w:tabs>
          <w:tab w:val="left" w:pos="720"/>
        </w:tabs>
        <w:jc w:val="both"/>
        <w:rPr>
          <w:rFonts w:asciiTheme="minorHAnsi" w:eastAsia="Wingdings" w:hAnsiTheme="minorHAnsi" w:cstheme="minorHAnsi"/>
          <w:sz w:val="22"/>
          <w:szCs w:val="22"/>
          <w:vertAlign w:val="superscript"/>
        </w:rPr>
      </w:pPr>
      <w:r>
        <w:rPr>
          <w:rFonts w:asciiTheme="minorHAnsi" w:eastAsia="Arial" w:hAnsiTheme="minorHAnsi" w:cstheme="minorHAnsi"/>
          <w:sz w:val="22"/>
          <w:szCs w:val="22"/>
        </w:rPr>
        <w:t>-</w:t>
      </w:r>
      <w:r w:rsidR="005D3011" w:rsidRPr="00D80F35">
        <w:rPr>
          <w:rFonts w:asciiTheme="minorHAnsi" w:eastAsia="Arial" w:hAnsiTheme="minorHAnsi" w:cstheme="minorHAnsi"/>
          <w:sz w:val="22"/>
          <w:szCs w:val="22"/>
        </w:rPr>
        <w:t>podophyllotoxine(20% de la résine)</w:t>
      </w:r>
    </w:p>
    <w:p w:rsidR="005D3011" w:rsidRPr="00D80F35" w:rsidRDefault="00274AA1" w:rsidP="00274AA1">
      <w:pPr>
        <w:tabs>
          <w:tab w:val="left" w:pos="720"/>
        </w:tabs>
        <w:jc w:val="both"/>
        <w:rPr>
          <w:rFonts w:asciiTheme="minorHAnsi" w:eastAsia="Wingdings" w:hAnsiTheme="minorHAnsi" w:cstheme="minorHAnsi"/>
          <w:sz w:val="22"/>
          <w:szCs w:val="22"/>
          <w:vertAlign w:val="superscript"/>
        </w:rPr>
      </w:pPr>
      <w:r>
        <w:rPr>
          <w:rFonts w:cs="Calibri"/>
          <w:b/>
          <w:bCs/>
        </w:rPr>
        <w:t>-</w:t>
      </w:r>
      <w:r w:rsidR="005D3011" w:rsidRPr="00D80F35">
        <w:rPr>
          <w:rFonts w:asciiTheme="minorHAnsi" w:eastAsia="Arial" w:hAnsiTheme="minorHAnsi" w:cstheme="minorHAnsi"/>
          <w:sz w:val="22"/>
          <w:szCs w:val="22"/>
        </w:rPr>
        <w:t>alpha et béta-peltatines (5 et 10 % de la résine)</w:t>
      </w:r>
    </w:p>
    <w:p w:rsidR="005D3011" w:rsidRPr="00D80F35" w:rsidRDefault="00274AA1" w:rsidP="00274AA1">
      <w:pPr>
        <w:tabs>
          <w:tab w:val="left" w:pos="720"/>
        </w:tabs>
        <w:jc w:val="both"/>
        <w:rPr>
          <w:rFonts w:asciiTheme="minorHAnsi" w:eastAsia="Wingdings" w:hAnsiTheme="minorHAnsi" w:cstheme="minorHAnsi"/>
          <w:sz w:val="22"/>
          <w:szCs w:val="22"/>
          <w:vertAlign w:val="superscript"/>
        </w:rPr>
      </w:pPr>
      <w:r>
        <w:rPr>
          <w:rFonts w:cs="Calibri"/>
          <w:b/>
          <w:bCs/>
        </w:rPr>
        <w:t>-</w:t>
      </w:r>
      <w:r w:rsidR="005D3011" w:rsidRPr="00D80F35">
        <w:rPr>
          <w:rFonts w:asciiTheme="minorHAnsi" w:eastAsia="Arial" w:hAnsiTheme="minorHAnsi" w:cstheme="minorHAnsi"/>
          <w:sz w:val="22"/>
          <w:szCs w:val="22"/>
        </w:rPr>
        <w:t>désoxypodophyllotoxine  et composés voisins</w:t>
      </w:r>
    </w:p>
    <w:p w:rsidR="005D3011" w:rsidRPr="00D80F35" w:rsidRDefault="00274AA1" w:rsidP="005D3011">
      <w:pPr>
        <w:rPr>
          <w:rFonts w:asciiTheme="minorHAnsi" w:eastAsia="Arial" w:hAnsiTheme="minorHAnsi" w:cstheme="minorHAnsi"/>
          <w:sz w:val="22"/>
          <w:szCs w:val="22"/>
        </w:rPr>
      </w:pPr>
      <w:r w:rsidRPr="00274AA1">
        <w:rPr>
          <w:rFonts w:cs="Calibri"/>
          <w:b/>
          <w:bCs/>
        </w:rPr>
        <w:t>•</w:t>
      </w:r>
      <w:r w:rsidR="005D3011" w:rsidRPr="00D80F35">
        <w:rPr>
          <w:rFonts w:asciiTheme="minorHAnsi" w:eastAsia="Arial" w:hAnsiTheme="minorHAnsi" w:cstheme="minorHAnsi"/>
          <w:sz w:val="22"/>
          <w:szCs w:val="22"/>
        </w:rPr>
        <w:t>Tous ces composés possèdent un cycle lactone fusionné en trans par rapport au cyclohexane : structure tendue et instable.</w:t>
      </w:r>
    </w:p>
    <w:p w:rsidR="005D3011" w:rsidRPr="00D80F35" w:rsidRDefault="00274AA1" w:rsidP="00274AA1">
      <w:pPr>
        <w:rPr>
          <w:rFonts w:asciiTheme="minorHAnsi" w:eastAsia="Arial" w:hAnsiTheme="minorHAnsi" w:cstheme="minorHAnsi"/>
          <w:sz w:val="22"/>
          <w:szCs w:val="22"/>
        </w:rPr>
      </w:pPr>
      <w:r w:rsidRPr="00274AA1">
        <w:rPr>
          <w:rFonts w:cs="Calibri"/>
          <w:b/>
          <w:bCs/>
        </w:rPr>
        <w:t>•</w:t>
      </w:r>
      <w:r w:rsidR="005D3011" w:rsidRPr="00D80F35">
        <w:rPr>
          <w:rFonts w:asciiTheme="minorHAnsi" w:eastAsia="Arial" w:hAnsiTheme="minorHAnsi" w:cstheme="minorHAnsi"/>
          <w:sz w:val="22"/>
          <w:szCs w:val="22"/>
        </w:rPr>
        <w:t xml:space="preserve">En milieu </w:t>
      </w:r>
      <w:r>
        <w:rPr>
          <w:rFonts w:asciiTheme="minorHAnsi" w:eastAsia="Arial" w:hAnsiTheme="minorHAnsi" w:cstheme="minorHAnsi"/>
          <w:sz w:val="22"/>
          <w:szCs w:val="22"/>
        </w:rPr>
        <w:t xml:space="preserve">légèrement </w:t>
      </w:r>
      <w:r w:rsidR="005D3011" w:rsidRPr="00D80F35">
        <w:rPr>
          <w:rFonts w:asciiTheme="minorHAnsi" w:eastAsia="Arial" w:hAnsiTheme="minorHAnsi" w:cstheme="minorHAnsi"/>
          <w:sz w:val="22"/>
          <w:szCs w:val="22"/>
        </w:rPr>
        <w:t>Alcalin : épimérisation immédiate</w:t>
      </w:r>
      <w:r>
        <w:rPr>
          <w:rFonts w:asciiTheme="minorHAnsi" w:eastAsia="Arial" w:hAnsiTheme="minorHAnsi" w:cstheme="minorHAnsi"/>
          <w:sz w:val="22"/>
          <w:szCs w:val="22"/>
        </w:rPr>
        <w:t xml:space="preserve"> e les produits formés à cycles</w:t>
      </w:r>
      <w:r w:rsidR="005D3011" w:rsidRPr="00D80F35">
        <w:rPr>
          <w:rFonts w:asciiTheme="minorHAnsi" w:eastAsia="Arial" w:hAnsiTheme="minorHAnsi" w:cstheme="minorHAnsi"/>
          <w:sz w:val="22"/>
          <w:szCs w:val="22"/>
        </w:rPr>
        <w:t>fusionnés en Cis sont stables et dépourvus d’Activité.</w:t>
      </w:r>
    </w:p>
    <w:p w:rsidR="005D3011" w:rsidRPr="00D80F35" w:rsidRDefault="005D3011" w:rsidP="005D3011">
      <w:pPr>
        <w:rPr>
          <w:rFonts w:asciiTheme="minorHAnsi" w:eastAsia="Times New Roman" w:hAnsiTheme="minorHAnsi" w:cstheme="minorHAnsi"/>
          <w:sz w:val="22"/>
          <w:szCs w:val="22"/>
        </w:rPr>
      </w:pPr>
    </w:p>
    <w:p w:rsidR="005D3011" w:rsidRPr="00D80F35" w:rsidRDefault="005D3011" w:rsidP="00274AA1">
      <w:pPr>
        <w:pStyle w:val="Titre1"/>
        <w:rPr>
          <w:rFonts w:eastAsia="Arial"/>
        </w:rPr>
      </w:pPr>
      <w:r w:rsidRPr="00D80F35">
        <w:rPr>
          <w:rFonts w:eastAsia="Arial"/>
        </w:rPr>
        <w:t>3. ACTION PHARMACOLOGIQUE</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w:t>
      </w:r>
      <w:r w:rsidRPr="00274AA1">
        <w:rPr>
          <w:rFonts w:asciiTheme="minorHAnsi" w:eastAsia="Arial" w:hAnsiTheme="minorHAnsi" w:cstheme="minorHAnsi"/>
          <w:b/>
          <w:bCs/>
          <w:sz w:val="22"/>
          <w:szCs w:val="22"/>
        </w:rPr>
        <w:t>Podophyllotoxine</w:t>
      </w:r>
      <w:r w:rsidRPr="00D80F35">
        <w:rPr>
          <w:rFonts w:asciiTheme="minorHAnsi" w:eastAsia="Arial" w:hAnsiTheme="minorHAnsi" w:cstheme="minorHAnsi"/>
          <w:sz w:val="22"/>
          <w:szCs w:val="22"/>
        </w:rPr>
        <w:t xml:space="preserve">  et </w:t>
      </w:r>
      <w:r w:rsidRPr="00274AA1">
        <w:rPr>
          <w:rFonts w:asciiTheme="minorHAnsi" w:eastAsia="Arial" w:hAnsiTheme="minorHAnsi" w:cstheme="minorHAnsi"/>
          <w:b/>
          <w:bCs/>
          <w:sz w:val="22"/>
          <w:szCs w:val="22"/>
        </w:rPr>
        <w:t>peltatines</w:t>
      </w:r>
      <w:r w:rsidRPr="00D80F35">
        <w:rPr>
          <w:rFonts w:asciiTheme="minorHAnsi" w:eastAsia="Arial" w:hAnsiTheme="minorHAnsi" w:cstheme="minorHAnsi"/>
          <w:sz w:val="22"/>
          <w:szCs w:val="22"/>
        </w:rPr>
        <w:t xml:space="preserve"> sont responsables de l’inhibition de la</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croissance des tumeurs expérimentales induites chez les souris.</w:t>
      </w:r>
    </w:p>
    <w:p w:rsidR="00274AA1" w:rsidRDefault="00274AA1" w:rsidP="005D3011">
      <w:pPr>
        <w:rPr>
          <w:rFonts w:asciiTheme="minorHAnsi" w:eastAsia="Arial" w:hAnsiTheme="minorHAnsi" w:cstheme="minorHAnsi"/>
          <w:sz w:val="22"/>
          <w:szCs w:val="22"/>
        </w:rPr>
      </w:pPr>
      <w:r w:rsidRPr="00274AA1">
        <w:rPr>
          <w:rFonts w:asciiTheme="minorHAnsi" w:eastAsia="Arial" w:hAnsiTheme="minorHAnsi" w:cstheme="minorHAnsi"/>
          <w:b/>
          <w:i/>
          <w:color w:val="0070C0"/>
          <w:sz w:val="22"/>
          <w:szCs w:val="22"/>
        </w:rPr>
        <w:t>Mécanisme</w:t>
      </w:r>
      <w:r w:rsidR="005D3011" w:rsidRPr="00274AA1">
        <w:rPr>
          <w:rFonts w:asciiTheme="minorHAnsi" w:eastAsia="Arial" w:hAnsiTheme="minorHAnsi" w:cstheme="minorHAnsi"/>
          <w:b/>
          <w:i/>
          <w:color w:val="0070C0"/>
          <w:sz w:val="22"/>
          <w:szCs w:val="22"/>
        </w:rPr>
        <w:t xml:space="preserve"> d’action </w:t>
      </w:r>
      <w:r w:rsidR="005D3011" w:rsidRPr="00274AA1">
        <w:rPr>
          <w:rFonts w:asciiTheme="minorHAnsi" w:eastAsia="Arial" w:hAnsiTheme="minorHAnsi" w:cstheme="minorHAnsi"/>
          <w:color w:val="0070C0"/>
          <w:sz w:val="22"/>
          <w:szCs w:val="22"/>
        </w:rPr>
        <w:t>:</w:t>
      </w:r>
      <w:r w:rsidR="005D3011" w:rsidRPr="00D80F35">
        <w:rPr>
          <w:rFonts w:asciiTheme="minorHAnsi" w:eastAsia="Arial" w:hAnsiTheme="minorHAnsi" w:cstheme="minorHAnsi"/>
          <w:sz w:val="22"/>
          <w:szCs w:val="22"/>
        </w:rPr>
        <w:t xml:space="preserve">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la podophyllotoxine inhibe la polymérisation de la</w:t>
      </w:r>
      <w:r w:rsidRPr="00D80F35">
        <w:rPr>
          <w:rFonts w:asciiTheme="minorHAnsi" w:eastAsia="Arial" w:hAnsiTheme="minorHAnsi" w:cstheme="minorHAnsi"/>
          <w:b/>
          <w:i/>
          <w:sz w:val="22"/>
          <w:szCs w:val="22"/>
        </w:rPr>
        <w:t xml:space="preserve"> </w:t>
      </w:r>
      <w:r w:rsidRPr="00D80F35">
        <w:rPr>
          <w:rFonts w:asciiTheme="minorHAnsi" w:eastAsia="Arial" w:hAnsiTheme="minorHAnsi" w:cstheme="minorHAnsi"/>
          <w:sz w:val="22"/>
          <w:szCs w:val="22"/>
        </w:rPr>
        <w:t>tubuline et bloque la division cellulaire au début de la métaphase (poison de fuseau)</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-dérivés d’hémi synthèse :bonne Activité anti-tumorale et effets indésirables diminués.</w:t>
      </w:r>
    </w:p>
    <w:p w:rsidR="005D3011" w:rsidRPr="00274AA1" w:rsidRDefault="005D3011" w:rsidP="005D3011">
      <w:pPr>
        <w:rPr>
          <w:rFonts w:asciiTheme="minorHAnsi" w:eastAsia="Arial" w:hAnsiTheme="minorHAnsi" w:cstheme="minorHAnsi"/>
          <w:color w:val="0070C0"/>
          <w:sz w:val="22"/>
          <w:szCs w:val="22"/>
        </w:rPr>
      </w:pPr>
      <w:r w:rsidRPr="00274AA1">
        <w:rPr>
          <w:rFonts w:asciiTheme="minorHAnsi" w:eastAsia="Arial" w:hAnsiTheme="minorHAnsi" w:cstheme="minorHAnsi"/>
          <w:b/>
          <w:i/>
          <w:color w:val="0070C0"/>
          <w:sz w:val="22"/>
          <w:szCs w:val="22"/>
        </w:rPr>
        <w:t xml:space="preserve">Structure caractérisée par </w:t>
      </w:r>
      <w:r w:rsidRPr="00274AA1">
        <w:rPr>
          <w:rFonts w:asciiTheme="minorHAnsi" w:eastAsia="Arial" w:hAnsiTheme="minorHAnsi" w:cstheme="minorHAnsi"/>
          <w:color w:val="0070C0"/>
          <w:sz w:val="22"/>
          <w:szCs w:val="22"/>
        </w:rPr>
        <w:t>:</w:t>
      </w:r>
    </w:p>
    <w:p w:rsidR="005D3011" w:rsidRPr="00D80F35" w:rsidRDefault="00274AA1" w:rsidP="00274AA1">
      <w:pPr>
        <w:tabs>
          <w:tab w:val="left" w:pos="720"/>
        </w:tabs>
        <w:jc w:val="both"/>
        <w:rPr>
          <w:rFonts w:asciiTheme="minorHAnsi" w:eastAsia="Wingdings" w:hAnsiTheme="minorHAnsi" w:cstheme="minorHAnsi"/>
          <w:sz w:val="22"/>
          <w:szCs w:val="22"/>
          <w:vertAlign w:val="superscript"/>
        </w:rPr>
      </w:pPr>
      <w:r>
        <w:rPr>
          <w:rFonts w:asciiTheme="minorHAnsi" w:eastAsia="Arial" w:hAnsiTheme="minorHAnsi" w:cstheme="minorHAnsi"/>
          <w:sz w:val="22"/>
          <w:szCs w:val="22"/>
        </w:rPr>
        <w:tab/>
      </w:r>
      <w:r w:rsidR="00833935" w:rsidRPr="00274AA1">
        <w:rPr>
          <w:rFonts w:cs="Calibri"/>
          <w:b/>
          <w:bCs/>
        </w:rPr>
        <w:t>•</w:t>
      </w:r>
      <w:r w:rsidR="005D3011" w:rsidRPr="00D80F35">
        <w:rPr>
          <w:rFonts w:asciiTheme="minorHAnsi" w:eastAsia="Arial" w:hAnsiTheme="minorHAnsi" w:cstheme="minorHAnsi"/>
          <w:sz w:val="22"/>
          <w:szCs w:val="22"/>
        </w:rPr>
        <w:t>une déméthylation en 4’</w:t>
      </w:r>
    </w:p>
    <w:p w:rsidR="005D3011" w:rsidRPr="00D80F35" w:rsidRDefault="00274AA1" w:rsidP="00274AA1">
      <w:pPr>
        <w:tabs>
          <w:tab w:val="left" w:pos="720"/>
        </w:tabs>
        <w:jc w:val="both"/>
        <w:rPr>
          <w:rFonts w:asciiTheme="minorHAnsi" w:eastAsia="Wingdings" w:hAnsiTheme="minorHAnsi" w:cstheme="minorHAnsi"/>
          <w:sz w:val="22"/>
          <w:szCs w:val="22"/>
          <w:vertAlign w:val="superscript"/>
        </w:rPr>
      </w:pPr>
      <w:r>
        <w:rPr>
          <w:rFonts w:asciiTheme="minorHAnsi" w:eastAsia="Arial" w:hAnsiTheme="minorHAnsi" w:cstheme="minorHAnsi"/>
          <w:sz w:val="22"/>
          <w:szCs w:val="22"/>
        </w:rPr>
        <w:tab/>
      </w:r>
      <w:r w:rsidR="00833935" w:rsidRPr="00274AA1">
        <w:rPr>
          <w:rFonts w:cs="Calibri"/>
          <w:b/>
          <w:bCs/>
        </w:rPr>
        <w:t>•</w:t>
      </w:r>
      <w:r w:rsidR="005D3011" w:rsidRPr="00D80F35">
        <w:rPr>
          <w:rFonts w:asciiTheme="minorHAnsi" w:eastAsia="Arial" w:hAnsiTheme="minorHAnsi" w:cstheme="minorHAnsi"/>
          <w:sz w:val="22"/>
          <w:szCs w:val="22"/>
        </w:rPr>
        <w:t>appartient à la série épi(configuration du C4 inversée)</w:t>
      </w:r>
    </w:p>
    <w:p w:rsidR="00833935" w:rsidRDefault="00274AA1" w:rsidP="00833935">
      <w:pPr>
        <w:tabs>
          <w:tab w:val="left" w:pos="720"/>
        </w:tabs>
        <w:jc w:val="both"/>
        <w:rPr>
          <w:rFonts w:asciiTheme="minorHAnsi" w:eastAsia="Arial" w:hAnsiTheme="minorHAnsi" w:cstheme="minorHAnsi"/>
          <w:sz w:val="22"/>
          <w:szCs w:val="22"/>
        </w:rPr>
      </w:pPr>
      <w:r>
        <w:rPr>
          <w:rFonts w:asciiTheme="minorHAnsi" w:eastAsia="Arial" w:hAnsiTheme="minorHAnsi" w:cstheme="minorHAnsi"/>
          <w:sz w:val="22"/>
          <w:szCs w:val="22"/>
        </w:rPr>
        <w:tab/>
      </w:r>
      <w:r w:rsidR="00833935" w:rsidRPr="00274AA1">
        <w:rPr>
          <w:rFonts w:cs="Calibri"/>
          <w:b/>
          <w:bCs/>
        </w:rPr>
        <w:t>•</w:t>
      </w:r>
      <w:r w:rsidR="005D3011" w:rsidRPr="00D80F35">
        <w:rPr>
          <w:rFonts w:asciiTheme="minorHAnsi" w:eastAsia="Arial" w:hAnsiTheme="minorHAnsi" w:cstheme="minorHAnsi"/>
          <w:sz w:val="22"/>
          <w:szCs w:val="22"/>
        </w:rPr>
        <w:t xml:space="preserve">OH en 4 engagé dans une liaison hétérosidique avec un glucose dont deux </w:t>
      </w:r>
      <w:r>
        <w:rPr>
          <w:rFonts w:asciiTheme="minorHAnsi" w:eastAsia="Arial" w:hAnsiTheme="minorHAnsi" w:cstheme="minorHAnsi"/>
          <w:sz w:val="22"/>
          <w:szCs w:val="22"/>
        </w:rPr>
        <w:tab/>
      </w:r>
      <w:r w:rsidR="00833935">
        <w:rPr>
          <w:rFonts w:asciiTheme="minorHAnsi" w:eastAsia="Arial" w:hAnsiTheme="minorHAnsi" w:cstheme="minorHAnsi"/>
          <w:sz w:val="22"/>
          <w:szCs w:val="22"/>
        </w:rPr>
        <w:t xml:space="preserve"> </w:t>
      </w:r>
      <w:r w:rsidR="005D3011" w:rsidRPr="00D80F35">
        <w:rPr>
          <w:rFonts w:asciiTheme="minorHAnsi" w:eastAsia="Arial" w:hAnsiTheme="minorHAnsi" w:cstheme="minorHAnsi"/>
          <w:sz w:val="22"/>
          <w:szCs w:val="22"/>
        </w:rPr>
        <w:t>OH bloqués par acétylisation → 2 composés :</w:t>
      </w:r>
    </w:p>
    <w:p w:rsidR="005D3011" w:rsidRPr="00D7089B" w:rsidRDefault="005D3011" w:rsidP="00D7089B">
      <w:pPr>
        <w:pStyle w:val="Paragraphedeliste"/>
        <w:numPr>
          <w:ilvl w:val="0"/>
          <w:numId w:val="13"/>
        </w:numPr>
        <w:tabs>
          <w:tab w:val="left" w:pos="720"/>
        </w:tabs>
        <w:jc w:val="both"/>
        <w:rPr>
          <w:rFonts w:asciiTheme="minorHAnsi" w:eastAsia="Wingdings" w:hAnsiTheme="minorHAnsi" w:cstheme="minorHAnsi"/>
          <w:sz w:val="22"/>
          <w:szCs w:val="22"/>
          <w:vertAlign w:val="superscript"/>
        </w:rPr>
      </w:pPr>
      <w:r w:rsidRPr="00D7089B">
        <w:rPr>
          <w:rFonts w:asciiTheme="minorHAnsi" w:eastAsia="Arial" w:hAnsiTheme="minorHAnsi" w:cstheme="minorHAnsi"/>
          <w:b/>
          <w:bCs/>
          <w:sz w:val="22"/>
          <w:szCs w:val="22"/>
        </w:rPr>
        <w:t xml:space="preserve">étoposide </w:t>
      </w:r>
      <w:r w:rsidRPr="00D7089B">
        <w:rPr>
          <w:rFonts w:asciiTheme="minorHAnsi" w:eastAsia="Arial" w:hAnsiTheme="minorHAnsi" w:cstheme="minorHAnsi"/>
          <w:sz w:val="22"/>
          <w:szCs w:val="22"/>
        </w:rPr>
        <w:t>:les deux OH acétalisés par un éthylidène.</w:t>
      </w:r>
    </w:p>
    <w:p w:rsidR="005D3011" w:rsidRPr="00D7089B" w:rsidRDefault="005D3011" w:rsidP="00D7089B">
      <w:pPr>
        <w:pStyle w:val="Paragraphedeliste"/>
        <w:numPr>
          <w:ilvl w:val="0"/>
          <w:numId w:val="13"/>
        </w:numPr>
        <w:tabs>
          <w:tab w:val="left" w:pos="720"/>
        </w:tabs>
        <w:jc w:val="both"/>
        <w:rPr>
          <w:rFonts w:asciiTheme="minorHAnsi" w:eastAsia="Wingdings" w:hAnsiTheme="minorHAnsi" w:cstheme="minorHAnsi"/>
          <w:sz w:val="22"/>
          <w:szCs w:val="22"/>
          <w:vertAlign w:val="superscript"/>
        </w:rPr>
      </w:pPr>
      <w:r w:rsidRPr="00D7089B">
        <w:rPr>
          <w:rFonts w:asciiTheme="minorHAnsi" w:eastAsia="Arial" w:hAnsiTheme="minorHAnsi" w:cstheme="minorHAnsi"/>
          <w:b/>
          <w:bCs/>
          <w:sz w:val="22"/>
          <w:szCs w:val="22"/>
        </w:rPr>
        <w:t xml:space="preserve">Téniposide </w:t>
      </w:r>
      <w:r w:rsidRPr="00D7089B">
        <w:rPr>
          <w:rFonts w:asciiTheme="minorHAnsi" w:eastAsia="Arial" w:hAnsiTheme="minorHAnsi" w:cstheme="minorHAnsi"/>
          <w:sz w:val="22"/>
          <w:szCs w:val="22"/>
        </w:rPr>
        <w:t>:les deux OH acétalisés par un thiénylidène</w:t>
      </w:r>
    </w:p>
    <w:p w:rsidR="00750C1B" w:rsidRDefault="00750C1B" w:rsidP="005D3011">
      <w:pPr>
        <w:rPr>
          <w:rFonts w:asciiTheme="minorHAnsi" w:eastAsia="Arial" w:hAnsiTheme="minorHAnsi" w:cstheme="minorHAnsi"/>
          <w:b/>
          <w:i/>
          <w:color w:val="E36C0A" w:themeColor="accent6" w:themeShade="BF"/>
          <w:sz w:val="22"/>
          <w:szCs w:val="22"/>
        </w:rPr>
      </w:pPr>
    </w:p>
    <w:p w:rsidR="00750C1B" w:rsidRDefault="00750C1B" w:rsidP="005D3011">
      <w:pPr>
        <w:rPr>
          <w:rFonts w:asciiTheme="minorHAnsi" w:eastAsia="Arial" w:hAnsiTheme="minorHAnsi" w:cstheme="minorHAnsi"/>
          <w:b/>
          <w:i/>
          <w:color w:val="E36C0A" w:themeColor="accent6" w:themeShade="BF"/>
          <w:sz w:val="22"/>
          <w:szCs w:val="22"/>
        </w:rPr>
      </w:pPr>
    </w:p>
    <w:p w:rsidR="00750C1B" w:rsidRDefault="00750C1B" w:rsidP="005D3011">
      <w:pPr>
        <w:rPr>
          <w:rFonts w:asciiTheme="minorHAnsi" w:eastAsia="Arial" w:hAnsiTheme="minorHAnsi" w:cstheme="minorHAnsi"/>
          <w:b/>
          <w:i/>
          <w:color w:val="E36C0A" w:themeColor="accent6" w:themeShade="BF"/>
          <w:sz w:val="22"/>
          <w:szCs w:val="22"/>
        </w:rPr>
      </w:pPr>
    </w:p>
    <w:p w:rsidR="00750C1B" w:rsidRDefault="00750C1B" w:rsidP="005D3011">
      <w:pPr>
        <w:rPr>
          <w:rFonts w:asciiTheme="minorHAnsi" w:eastAsia="Arial" w:hAnsiTheme="minorHAnsi" w:cstheme="minorHAnsi"/>
          <w:b/>
          <w:i/>
          <w:color w:val="E36C0A" w:themeColor="accent6" w:themeShade="BF"/>
          <w:sz w:val="22"/>
          <w:szCs w:val="22"/>
        </w:rPr>
      </w:pPr>
    </w:p>
    <w:p w:rsidR="00750C1B" w:rsidRPr="00750C1B" w:rsidRDefault="00750C1B" w:rsidP="005D3011">
      <w:pPr>
        <w:rPr>
          <w:rFonts w:asciiTheme="minorHAnsi" w:eastAsia="Arial" w:hAnsiTheme="minorHAnsi" w:cstheme="minorHAnsi"/>
          <w:b/>
          <w:i/>
          <w:color w:val="E36C0A" w:themeColor="accent6" w:themeShade="BF"/>
          <w:sz w:val="16"/>
          <w:szCs w:val="16"/>
        </w:rPr>
      </w:pPr>
    </w:p>
    <w:p w:rsidR="005D3011" w:rsidRPr="00D7089B" w:rsidRDefault="005D3011" w:rsidP="005D3011">
      <w:pPr>
        <w:rPr>
          <w:rFonts w:asciiTheme="minorHAnsi" w:eastAsia="Arial" w:hAnsiTheme="minorHAnsi" w:cstheme="minorHAnsi"/>
          <w:b/>
          <w:i/>
          <w:color w:val="E36C0A" w:themeColor="accent6" w:themeShade="BF"/>
          <w:sz w:val="22"/>
          <w:szCs w:val="22"/>
        </w:rPr>
      </w:pPr>
      <w:r w:rsidRPr="00D7089B">
        <w:rPr>
          <w:rFonts w:asciiTheme="minorHAnsi" w:eastAsia="Arial" w:hAnsiTheme="minorHAnsi" w:cstheme="minorHAnsi"/>
          <w:b/>
          <w:i/>
          <w:color w:val="E36C0A" w:themeColor="accent6" w:themeShade="BF"/>
          <w:sz w:val="22"/>
          <w:szCs w:val="22"/>
        </w:rPr>
        <w:t>Mec d’action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-Ces deux dérivés (inactifs au niveau de l’assemblage des microtubules)</w:t>
      </w:r>
    </w:p>
    <w:p w:rsidR="005D3011" w:rsidRPr="00D80F35" w:rsidRDefault="005D3011" w:rsidP="00D7089B">
      <w:pPr>
        <w:rPr>
          <w:rFonts w:asciiTheme="minorHAnsi" w:eastAsia="Arial" w:hAnsiTheme="minorHAnsi" w:cstheme="minorHAnsi"/>
          <w:sz w:val="22"/>
          <w:szCs w:val="22"/>
        </w:rPr>
      </w:pPr>
      <w:r w:rsidRPr="00D80F35">
        <w:rPr>
          <w:rFonts w:asciiTheme="minorHAnsi" w:eastAsia="Arial" w:hAnsiTheme="minorHAnsi" w:cstheme="minorHAnsi"/>
          <w:sz w:val="22"/>
          <w:szCs w:val="22"/>
        </w:rPr>
        <w:t xml:space="preserve">bloquent le cycle cellulaire en fin de </w:t>
      </w:r>
      <w:r w:rsidR="00D7089B">
        <w:rPr>
          <w:rFonts w:asciiTheme="minorHAnsi" w:eastAsia="Arial" w:hAnsiTheme="minorHAnsi" w:cstheme="minorHAnsi"/>
          <w:sz w:val="22"/>
          <w:szCs w:val="22"/>
        </w:rPr>
        <w:t>phase S ou en début de phase G2</w:t>
      </w:r>
      <w:r w:rsidRPr="00D80F35">
        <w:rPr>
          <w:rFonts w:asciiTheme="minorHAnsi" w:eastAsia="Arial" w:hAnsiTheme="minorHAnsi" w:cstheme="minorHAnsi"/>
          <w:sz w:val="22"/>
          <w:szCs w:val="22"/>
        </w:rPr>
        <w:t xml:space="preserve"> de fait de l'induction de coupures multiples suite à l'inhibition de la TOPOISOMERASE II</w:t>
      </w:r>
      <w:r w:rsidR="00D7089B">
        <w:rPr>
          <w:rFonts w:asciiTheme="minorHAnsi" w:eastAsia="Arial" w:hAnsiTheme="minorHAnsi" w:cstheme="minorHAnsi"/>
          <w:sz w:val="22"/>
          <w:szCs w:val="22"/>
        </w:rPr>
        <w:t xml:space="preserve"> </w:t>
      </w:r>
      <w:r w:rsidRPr="00D80F35">
        <w:rPr>
          <w:rFonts w:asciiTheme="minorHAnsi" w:eastAsia="Arial" w:hAnsiTheme="minorHAnsi" w:cstheme="minorHAnsi"/>
          <w:sz w:val="22"/>
          <w:szCs w:val="22"/>
        </w:rPr>
        <w:t>/ ADN gyrase qui permet l'obtention d'une forme relachée de l'ADN et sa coupure en double brins.</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-L'étoposide n'est pas un intercalant: c'est au niveau du complexe de clivage que la molécule va agir pour former un complexe ternaire ADN/Topoisomérase/éptoposide.</w:t>
      </w:r>
    </w:p>
    <w:p w:rsidR="005D3011" w:rsidRPr="00D80F35" w:rsidRDefault="005D3011" w:rsidP="005D3011">
      <w:pPr>
        <w:rPr>
          <w:rFonts w:asciiTheme="minorHAnsi" w:eastAsia="Times New Roman" w:hAnsiTheme="minorHAnsi" w:cstheme="minorHAnsi"/>
          <w:sz w:val="22"/>
          <w:szCs w:val="22"/>
        </w:rPr>
      </w:pPr>
      <w:r w:rsidRPr="00750C1B">
        <w:rPr>
          <w:rFonts w:asciiTheme="minorHAnsi" w:eastAsia="Times New Roman" w:hAnsiTheme="minorHAnsi" w:cstheme="minorHAnsi"/>
          <w:b/>
          <w:bCs/>
          <w:sz w:val="22"/>
          <w:szCs w:val="22"/>
        </w:rPr>
        <w:t>-&gt;</w:t>
      </w:r>
      <w:r w:rsidRPr="00D80F35">
        <w:rPr>
          <w:rFonts w:asciiTheme="minorHAnsi" w:eastAsia="Times New Roman" w:hAnsiTheme="minorHAnsi" w:cstheme="minorHAnsi"/>
          <w:sz w:val="22"/>
          <w:szCs w:val="22"/>
        </w:rPr>
        <w:t>Consequences cellulaires: le résultat de l'activation de voies complexes se traduit par l'apoptose des cellules tumorales ( essentiellement par la voie dite "intrinsèque")</w:t>
      </w:r>
    </w:p>
    <w:p w:rsidR="005D3011" w:rsidRDefault="005D3011" w:rsidP="005D3011">
      <w:pPr>
        <w:rPr>
          <w:rFonts w:asciiTheme="minorHAnsi" w:eastAsia="Times New Roman" w:hAnsiTheme="minorHAnsi" w:cstheme="minorHAnsi"/>
          <w:sz w:val="22"/>
          <w:szCs w:val="22"/>
        </w:rPr>
      </w:pPr>
    </w:p>
    <w:p w:rsidR="00750C1B" w:rsidRPr="00D80F35" w:rsidRDefault="00750C1B" w:rsidP="005D3011">
      <w:pPr>
        <w:rPr>
          <w:rFonts w:asciiTheme="minorHAnsi" w:eastAsia="Times New Roman" w:hAnsiTheme="minorHAnsi" w:cstheme="minorHAnsi"/>
          <w:sz w:val="22"/>
          <w:szCs w:val="22"/>
        </w:rPr>
      </w:pPr>
    </w:p>
    <w:p w:rsidR="005D3011" w:rsidRPr="00D80F35" w:rsidRDefault="005D3011" w:rsidP="00750C1B">
      <w:pPr>
        <w:pStyle w:val="Titre1"/>
        <w:rPr>
          <w:rFonts w:eastAsia="Arial"/>
        </w:rPr>
      </w:pPr>
      <w:r w:rsidRPr="00D80F35">
        <w:rPr>
          <w:rFonts w:eastAsia="Arial"/>
        </w:rPr>
        <w:t>4. EMPLOI</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-Résine : constitue une source de podophyllotoxine :obtenue à partir de Podophyllum hexandrum=espèce hymalienne renfermant 6-12 % de résine dont 40%=podophyllotoxine</w:t>
      </w:r>
    </w:p>
    <w:p w:rsidR="005D3011" w:rsidRPr="00D80F35" w:rsidRDefault="005D3011" w:rsidP="005D3011">
      <w:pPr>
        <w:rPr>
          <w:rFonts w:asciiTheme="minorHAnsi" w:eastAsia="Arial" w:hAnsiTheme="minorHAnsi" w:cstheme="minorHAnsi"/>
          <w:i/>
          <w:sz w:val="22"/>
          <w:szCs w:val="22"/>
        </w:rPr>
      </w:pPr>
      <w:r w:rsidRPr="00D80F35">
        <w:rPr>
          <w:rFonts w:asciiTheme="minorHAnsi" w:eastAsia="Arial" w:hAnsiTheme="minorHAnsi" w:cstheme="minorHAnsi"/>
          <w:i/>
          <w:sz w:val="22"/>
          <w:szCs w:val="22"/>
        </w:rPr>
        <w:t>RQ : était utilisée comme laxatif et cholagogue</w:t>
      </w:r>
    </w:p>
    <w:p w:rsidR="005D3011" w:rsidRDefault="005D3011" w:rsidP="005D3011">
      <w:pPr>
        <w:rPr>
          <w:rFonts w:asciiTheme="minorHAnsi" w:eastAsia="Arial" w:hAnsiTheme="minorHAnsi" w:cstheme="minorHAnsi"/>
          <w:b/>
          <w:sz w:val="22"/>
          <w:szCs w:val="22"/>
        </w:rPr>
      </w:pPr>
      <w:r w:rsidRPr="00D80F35">
        <w:rPr>
          <w:rFonts w:asciiTheme="minorHAnsi" w:eastAsia="Arial" w:hAnsiTheme="minorHAnsi" w:cstheme="minorHAnsi"/>
          <w:b/>
          <w:sz w:val="22"/>
          <w:szCs w:val="22"/>
        </w:rPr>
        <w:t>En thérapeutique :</w:t>
      </w:r>
    </w:p>
    <w:p w:rsidR="00750C1B" w:rsidRPr="00750C1B" w:rsidRDefault="00750C1B" w:rsidP="005D3011">
      <w:pPr>
        <w:rPr>
          <w:rFonts w:asciiTheme="minorHAnsi" w:eastAsia="Arial" w:hAnsiTheme="minorHAnsi" w:cstheme="minorHAnsi"/>
          <w:b/>
          <w:sz w:val="16"/>
          <w:szCs w:val="16"/>
        </w:rPr>
      </w:pPr>
    </w:p>
    <w:p w:rsidR="00750C1B" w:rsidRDefault="005D3011" w:rsidP="005D3011">
      <w:pPr>
        <w:rPr>
          <w:rFonts w:asciiTheme="minorHAnsi" w:eastAsia="Arial" w:hAnsiTheme="minorHAnsi" w:cstheme="minorHAnsi"/>
          <w:sz w:val="22"/>
          <w:szCs w:val="22"/>
        </w:rPr>
      </w:pPr>
      <w:r w:rsidRPr="00750C1B">
        <w:rPr>
          <w:rFonts w:asciiTheme="minorHAnsi" w:eastAsia="Arial" w:hAnsiTheme="minorHAnsi" w:cstheme="minorHAnsi"/>
          <w:b/>
          <w:bCs/>
          <w:i/>
          <w:color w:val="006600"/>
          <w:sz w:val="26"/>
          <w:szCs w:val="26"/>
        </w:rPr>
        <w:t xml:space="preserve">-PODOPHYLLOTOXINE </w:t>
      </w:r>
      <w:r w:rsidRPr="00750C1B">
        <w:rPr>
          <w:rFonts w:asciiTheme="minorHAnsi" w:eastAsia="Arial" w:hAnsiTheme="minorHAnsi" w:cstheme="minorHAnsi"/>
          <w:b/>
          <w:bCs/>
          <w:color w:val="006600"/>
          <w:sz w:val="26"/>
          <w:szCs w:val="26"/>
        </w:rPr>
        <w:t>:</w:t>
      </w:r>
      <w:r w:rsidRPr="00D80F35">
        <w:rPr>
          <w:rFonts w:asciiTheme="minorHAnsi" w:eastAsia="Arial" w:hAnsiTheme="minorHAnsi" w:cstheme="minorHAnsi"/>
          <w:sz w:val="22"/>
          <w:szCs w:val="22"/>
        </w:rPr>
        <w:t xml:space="preserve">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traitement des condylomes acuminés externes (condylomes: tumeurs rosées ressemblant à des verrues localisées au niveau des muqueuses génitales ou de l'anus et au niveau de la muqueuse buccale)</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*Sous forme de préparations magistrales ou de solution alcoolique standardisée de podophyllotoxine en applications externe .</w:t>
      </w:r>
    </w:p>
    <w:p w:rsidR="00750C1B" w:rsidRPr="00750C1B" w:rsidRDefault="005D3011" w:rsidP="005D3011">
      <w:pPr>
        <w:rPr>
          <w:rFonts w:asciiTheme="minorHAnsi" w:eastAsia="Arial" w:hAnsiTheme="minorHAnsi" w:cstheme="minorHAnsi"/>
          <w:color w:val="E36C0A" w:themeColor="accent6" w:themeShade="BF"/>
          <w:sz w:val="22"/>
          <w:szCs w:val="22"/>
        </w:rPr>
      </w:pPr>
      <w:r w:rsidRPr="00750C1B">
        <w:rPr>
          <w:rFonts w:asciiTheme="minorHAnsi" w:eastAsia="Arial" w:hAnsiTheme="minorHAnsi" w:cstheme="minorHAnsi"/>
          <w:bCs/>
          <w:color w:val="E36C0A" w:themeColor="accent6" w:themeShade="BF"/>
          <w:sz w:val="22"/>
          <w:szCs w:val="22"/>
          <w:u w:val="single"/>
        </w:rPr>
        <w:t xml:space="preserve"> CI absolue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grossesse (effet tératogéne)</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-Obtention de dérivés hémisynthétiques :prescrits sous surveillance médicale stricte</w:t>
      </w:r>
    </w:p>
    <w:p w:rsidR="005D3011" w:rsidRDefault="005D3011" w:rsidP="00750C1B">
      <w:pPr>
        <w:rPr>
          <w:rFonts w:asciiTheme="minorHAnsi" w:eastAsia="Arial" w:hAnsiTheme="minorHAnsi" w:cstheme="minorHAnsi"/>
          <w:sz w:val="22"/>
          <w:szCs w:val="22"/>
        </w:rPr>
      </w:pPr>
      <w:r w:rsidRPr="00D80F35">
        <w:rPr>
          <w:rFonts w:asciiTheme="minorHAnsi" w:eastAsia="Arial" w:hAnsiTheme="minorHAnsi" w:cstheme="minorHAnsi"/>
          <w:b/>
          <w:sz w:val="22"/>
          <w:szCs w:val="22"/>
        </w:rPr>
        <w:t xml:space="preserve">Spécialité </w:t>
      </w:r>
      <w:r w:rsidRPr="00D80F35">
        <w:rPr>
          <w:rFonts w:asciiTheme="minorHAnsi" w:eastAsia="Arial" w:hAnsiTheme="minorHAnsi" w:cstheme="minorHAnsi"/>
          <w:sz w:val="22"/>
          <w:szCs w:val="22"/>
        </w:rPr>
        <w:t>:</w:t>
      </w:r>
      <w:r w:rsidRPr="00750C1B">
        <w:rPr>
          <w:rFonts w:asciiTheme="minorHAnsi" w:eastAsia="Arial" w:hAnsiTheme="minorHAnsi" w:cstheme="minorHAnsi"/>
          <w:b/>
          <w:color w:val="984806" w:themeColor="accent6" w:themeShade="80"/>
          <w:sz w:val="22"/>
          <w:szCs w:val="22"/>
        </w:rPr>
        <w:t>CONDYLINE</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(sol alcoolique pour application locale à 0,5%)</w:t>
      </w:r>
    </w:p>
    <w:p w:rsidR="00750C1B" w:rsidRDefault="00750C1B" w:rsidP="00750C1B">
      <w:pPr>
        <w:rPr>
          <w:rFonts w:asciiTheme="minorHAnsi" w:eastAsia="Arial" w:hAnsiTheme="minorHAnsi" w:cstheme="minorHAnsi"/>
          <w:sz w:val="22"/>
          <w:szCs w:val="22"/>
        </w:rPr>
      </w:pPr>
    </w:p>
    <w:p w:rsidR="00750C1B" w:rsidRDefault="00750C1B" w:rsidP="00750C1B">
      <w:pPr>
        <w:rPr>
          <w:rFonts w:asciiTheme="minorHAnsi" w:eastAsia="Arial" w:hAnsiTheme="minorHAnsi" w:cstheme="minorHAnsi"/>
          <w:sz w:val="22"/>
          <w:szCs w:val="22"/>
        </w:rPr>
      </w:pPr>
    </w:p>
    <w:p w:rsidR="00750C1B" w:rsidRPr="00D80F35" w:rsidRDefault="00750C1B" w:rsidP="00750C1B">
      <w:pPr>
        <w:rPr>
          <w:rFonts w:asciiTheme="minorHAnsi" w:eastAsia="Arial" w:hAnsiTheme="minorHAnsi" w:cstheme="minorHAnsi"/>
          <w:sz w:val="22"/>
          <w:szCs w:val="22"/>
        </w:rPr>
      </w:pPr>
    </w:p>
    <w:p w:rsidR="005D3011" w:rsidRPr="00750C1B" w:rsidRDefault="005D3011" w:rsidP="005D3011">
      <w:pPr>
        <w:rPr>
          <w:rFonts w:asciiTheme="minorHAnsi" w:eastAsia="Arial" w:hAnsiTheme="minorHAnsi" w:cstheme="minorHAnsi"/>
          <w:b/>
          <w:bCs/>
          <w:i/>
          <w:color w:val="006600"/>
          <w:sz w:val="26"/>
          <w:szCs w:val="26"/>
        </w:rPr>
      </w:pPr>
      <w:r w:rsidRPr="00750C1B">
        <w:rPr>
          <w:rFonts w:asciiTheme="minorHAnsi" w:eastAsia="Arial" w:hAnsiTheme="minorHAnsi" w:cstheme="minorHAnsi"/>
          <w:b/>
          <w:bCs/>
          <w:color w:val="006600"/>
          <w:sz w:val="26"/>
          <w:szCs w:val="26"/>
        </w:rPr>
        <w:lastRenderedPageBreak/>
        <w:t>-</w:t>
      </w:r>
      <w:r w:rsidRPr="00750C1B">
        <w:rPr>
          <w:rFonts w:asciiTheme="minorHAnsi" w:eastAsia="Arial" w:hAnsiTheme="minorHAnsi" w:cstheme="minorHAnsi"/>
          <w:b/>
          <w:bCs/>
          <w:i/>
          <w:color w:val="006600"/>
          <w:sz w:val="26"/>
          <w:szCs w:val="26"/>
        </w:rPr>
        <w:t>ETOPOSIDE</w:t>
      </w:r>
      <w:r w:rsidR="00750C1B">
        <w:rPr>
          <w:rFonts w:asciiTheme="minorHAnsi" w:eastAsia="Arial" w:hAnsiTheme="minorHAnsi" w:cstheme="minorHAnsi"/>
          <w:b/>
          <w:bCs/>
          <w:i/>
          <w:color w:val="006600"/>
          <w:sz w:val="26"/>
          <w:szCs w:val="26"/>
        </w:rPr>
        <w:t>:</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Indication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prescrit en association dans des protocoles de poly-chimiothérapie pour le traitementt :</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des carcinomes embryonnaires et seminomes du testicule</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lymphomes malins hodgkiniens ou non</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Leucémies aigues monocytaires / myéloblastiques</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Cancers bronchiques à petites cellules et non a petites cellules</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Choriocarcinomes placentaires (Tumeurs malignes rares qui se développe dans l'utérus à partir du placenta après une grossesse ou chez l'homme dans le testicule)</w:t>
      </w:r>
    </w:p>
    <w:p w:rsidR="005D3011" w:rsidRPr="00D80F35" w:rsidRDefault="005D3011" w:rsidP="00750C1B">
      <w:pPr>
        <w:tabs>
          <w:tab w:val="left" w:pos="720"/>
        </w:tabs>
        <w:jc w:val="both"/>
        <w:rPr>
          <w:rFonts w:asciiTheme="minorHAnsi" w:eastAsia="Symbol" w:hAnsiTheme="minorHAnsi" w:cstheme="minorHAnsi"/>
          <w:sz w:val="22"/>
          <w:szCs w:val="22"/>
        </w:rPr>
      </w:pPr>
      <w:r w:rsidRPr="00D80F35">
        <w:rPr>
          <w:rFonts w:asciiTheme="minorHAnsi" w:eastAsia="Arial" w:hAnsiTheme="minorHAnsi" w:cstheme="minorHAnsi"/>
          <w:sz w:val="22"/>
          <w:szCs w:val="22"/>
        </w:rPr>
        <w:t>cancers de sein ( en 2ème intention).</w:t>
      </w:r>
    </w:p>
    <w:p w:rsidR="005D3011" w:rsidRPr="00750C1B" w:rsidRDefault="005D3011" w:rsidP="005D3011">
      <w:pPr>
        <w:jc w:val="both"/>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Forme d’emploi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Soluté injectable(en perfusion) et de capsule (voie orale)</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Posologies moyennes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Voie IV :50-150 mg/m2de SC /j ,1 à 3 jours</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Voie orale : doubler les doses, en cures de 3 à 5j ou à faibles doses quotidiennement(cas particulier).</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 xml:space="preserve"> Effets indésirables</w:t>
      </w:r>
      <w:r w:rsidR="00750C1B">
        <w:rPr>
          <w:rFonts w:asciiTheme="minorHAnsi" w:eastAsia="Arial" w:hAnsiTheme="minorHAnsi" w:cstheme="minorHAnsi"/>
          <w:b/>
          <w:color w:val="E36C0A" w:themeColor="accent6" w:themeShade="BF"/>
          <w:sz w:val="22"/>
          <w:szCs w:val="22"/>
          <w:u w:val="single"/>
        </w:rPr>
        <w:t>:</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D’ordre hématologiques proportionnelles à la dose :leucopénie, granulopénie</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et thrombopénie</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Des troubles Digestifs:( Nausées, vomissements) fréquentes si administration par voie orale</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CI :</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grossesse, allaitement.</w:t>
      </w:r>
    </w:p>
    <w:p w:rsidR="005D3011" w:rsidRPr="00750C1B" w:rsidRDefault="005D3011" w:rsidP="005D3011">
      <w:pPr>
        <w:rPr>
          <w:rFonts w:asciiTheme="minorHAnsi" w:eastAsia="Arial" w:hAnsiTheme="minorHAnsi" w:cstheme="minorHAnsi"/>
          <w:b/>
          <w:color w:val="E36C0A" w:themeColor="accent6" w:themeShade="BF"/>
          <w:sz w:val="22"/>
          <w:szCs w:val="22"/>
          <w:u w:val="single"/>
        </w:rPr>
      </w:pPr>
      <w:r w:rsidRPr="00750C1B">
        <w:rPr>
          <w:rFonts w:asciiTheme="minorHAnsi" w:eastAsia="Arial" w:hAnsiTheme="minorHAnsi" w:cstheme="minorHAnsi"/>
          <w:b/>
          <w:color w:val="E36C0A" w:themeColor="accent6" w:themeShade="BF"/>
          <w:sz w:val="22"/>
          <w:szCs w:val="22"/>
          <w:u w:val="single"/>
        </w:rPr>
        <w:t>Spécialité :</w:t>
      </w:r>
    </w:p>
    <w:p w:rsidR="005D3011" w:rsidRPr="00750C1B" w:rsidRDefault="005D3011" w:rsidP="00750C1B">
      <w:pPr>
        <w:ind w:firstLine="60"/>
        <w:rPr>
          <w:rFonts w:asciiTheme="minorHAnsi" w:eastAsia="Arial" w:hAnsiTheme="minorHAnsi" w:cstheme="minorHAnsi"/>
          <w:sz w:val="22"/>
          <w:szCs w:val="22"/>
        </w:rPr>
      </w:pPr>
      <w:r w:rsidRPr="00750C1B">
        <w:rPr>
          <w:rFonts w:asciiTheme="minorHAnsi" w:eastAsia="Arial" w:hAnsiTheme="minorHAnsi" w:cstheme="minorHAnsi"/>
          <w:b/>
          <w:color w:val="984806" w:themeColor="accent6" w:themeShade="80"/>
          <w:sz w:val="22"/>
          <w:szCs w:val="22"/>
        </w:rPr>
        <w:t>VEPESIDE®</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(soluté injectable pour perfusion IV à 100mg/5 ml ou 50mg/2,5</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ml ou capsules à 50 mg)</w:t>
      </w:r>
    </w:p>
    <w:p w:rsidR="005D3011" w:rsidRPr="00D80F35" w:rsidRDefault="005D3011" w:rsidP="005D3011">
      <w:pPr>
        <w:rPr>
          <w:rFonts w:asciiTheme="minorHAnsi" w:eastAsia="Arial" w:hAnsiTheme="minorHAnsi" w:cstheme="minorHAnsi"/>
          <w:sz w:val="22"/>
          <w:szCs w:val="22"/>
        </w:rPr>
      </w:pPr>
      <w:r w:rsidRPr="00750C1B">
        <w:rPr>
          <w:rFonts w:asciiTheme="minorHAnsi" w:eastAsia="Arial" w:hAnsiTheme="minorHAnsi" w:cstheme="minorHAnsi"/>
          <w:b/>
          <w:color w:val="984806" w:themeColor="accent6" w:themeShade="80"/>
          <w:sz w:val="22"/>
          <w:szCs w:val="22"/>
        </w:rPr>
        <w:t>CELLTOP®</w:t>
      </w:r>
      <w:r w:rsidRPr="00D80F35">
        <w:rPr>
          <w:rFonts w:asciiTheme="minorHAnsi" w:eastAsia="Arial" w:hAnsiTheme="minorHAnsi" w:cstheme="minorHAnsi"/>
          <w:b/>
          <w:sz w:val="22"/>
          <w:szCs w:val="22"/>
        </w:rPr>
        <w:t xml:space="preserve"> </w:t>
      </w:r>
      <w:r w:rsidRPr="00D80F35">
        <w:rPr>
          <w:rFonts w:asciiTheme="minorHAnsi" w:eastAsia="Arial" w:hAnsiTheme="minorHAnsi" w:cstheme="minorHAnsi"/>
          <w:sz w:val="22"/>
          <w:szCs w:val="22"/>
        </w:rPr>
        <w:t>(capsule molle à 25 ou 50 mg)</w:t>
      </w:r>
    </w:p>
    <w:p w:rsidR="005D3011" w:rsidRPr="008A2022" w:rsidRDefault="005D3011" w:rsidP="005D3011">
      <w:pPr>
        <w:rPr>
          <w:rFonts w:asciiTheme="minorHAnsi" w:eastAsia="Arial" w:hAnsiTheme="minorHAnsi" w:cstheme="minorHAnsi"/>
          <w:b/>
          <w:color w:val="E36C0A" w:themeColor="accent6" w:themeShade="BF"/>
          <w:sz w:val="22"/>
          <w:szCs w:val="22"/>
          <w:u w:val="single"/>
        </w:rPr>
      </w:pPr>
      <w:r w:rsidRPr="008A2022">
        <w:rPr>
          <w:rFonts w:asciiTheme="minorHAnsi" w:eastAsia="Arial" w:hAnsiTheme="minorHAnsi" w:cstheme="minorHAnsi"/>
          <w:b/>
          <w:color w:val="E36C0A" w:themeColor="accent6" w:themeShade="BF"/>
          <w:sz w:val="22"/>
          <w:szCs w:val="22"/>
          <w:u w:val="single"/>
        </w:rPr>
        <w:t>Mise en garde</w:t>
      </w:r>
      <w:r w:rsidR="004826AE">
        <w:rPr>
          <w:rFonts w:asciiTheme="minorHAnsi" w:eastAsia="Arial" w:hAnsiTheme="minorHAnsi" w:cstheme="minorHAnsi"/>
          <w:b/>
          <w:color w:val="E36C0A" w:themeColor="accent6" w:themeShade="BF"/>
          <w:sz w:val="22"/>
          <w:szCs w:val="22"/>
          <w:u w:val="single"/>
        </w:rPr>
        <w:t>:</w:t>
      </w:r>
    </w:p>
    <w:p w:rsidR="005D3011" w:rsidRPr="00D80F35" w:rsidRDefault="005D3011" w:rsidP="005D3011">
      <w:pPr>
        <w:rPr>
          <w:rFonts w:asciiTheme="minorHAnsi" w:eastAsia="Arial" w:hAnsiTheme="minorHAnsi" w:cstheme="minorHAnsi"/>
          <w:sz w:val="22"/>
          <w:szCs w:val="22"/>
        </w:rPr>
      </w:pPr>
      <w:r w:rsidRPr="00D80F35">
        <w:rPr>
          <w:rFonts w:asciiTheme="minorHAnsi" w:eastAsia="Arial" w:hAnsiTheme="minorHAnsi" w:cstheme="minorHAnsi"/>
          <w:sz w:val="22"/>
          <w:szCs w:val="22"/>
        </w:rPr>
        <w:t>L'étoposide peut provoquer une nécrose tissulaire en cas d’extravasation (épanchement d’un liquide biologique dans les tissus par lésion de la paroi de l’organe ou du conduit dans lequel il est contenu).</w:t>
      </w:r>
    </w:p>
    <w:p w:rsidR="005D3011" w:rsidRPr="00A63E93" w:rsidRDefault="005D3011" w:rsidP="005D3011">
      <w:pPr>
        <w:rPr>
          <w:sz w:val="22"/>
          <w:szCs w:val="22"/>
        </w:rPr>
      </w:pPr>
    </w:p>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p w:rsidR="005D3011" w:rsidRPr="00A63E93" w:rsidRDefault="005D3011"/>
    <w:sectPr w:rsidR="005D3011" w:rsidRPr="00A63E93" w:rsidSect="00CB59E7">
      <w:pgSz w:w="16838" w:h="11906" w:orient="landscape"/>
      <w:pgMar w:top="567" w:right="567" w:bottom="567"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5B0" w:rsidRDefault="003A45B0" w:rsidP="00CB59E7">
      <w:r>
        <w:separator/>
      </w:r>
    </w:p>
  </w:endnote>
  <w:endnote w:type="continuationSeparator" w:id="1">
    <w:p w:rsidR="003A45B0" w:rsidRDefault="003A45B0" w:rsidP="00CB59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5B0" w:rsidRDefault="003A45B0" w:rsidP="00CB59E7">
      <w:r>
        <w:separator/>
      </w:r>
    </w:p>
  </w:footnote>
  <w:footnote w:type="continuationSeparator" w:id="1">
    <w:p w:rsidR="003A45B0" w:rsidRDefault="003A45B0" w:rsidP="00CB5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B71EFA"/>
    <w:lvl w:ilvl="0" w:tplc="FFFFFFFF">
      <w:start w:val="1"/>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7545E1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515F007C"/>
    <w:lvl w:ilvl="0" w:tplc="FFFFFFFF">
      <w:start w:val="2"/>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1F16E9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40E0F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52514043"/>
    <w:multiLevelType w:val="hybridMultilevel"/>
    <w:tmpl w:val="EFC27B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DC40599"/>
    <w:multiLevelType w:val="hybridMultilevel"/>
    <w:tmpl w:val="F99EE67A"/>
    <w:lvl w:ilvl="0" w:tplc="040C000B">
      <w:start w:val="1"/>
      <w:numFmt w:val="bullet"/>
      <w:lvlText w:val=""/>
      <w:lvlJc w:val="left"/>
      <w:pPr>
        <w:ind w:left="1061" w:hanging="360"/>
      </w:pPr>
      <w:rPr>
        <w:rFonts w:ascii="Wingdings" w:hAnsi="Wingdings" w:hint="default"/>
      </w:rPr>
    </w:lvl>
    <w:lvl w:ilvl="1" w:tplc="040C0003" w:tentative="1">
      <w:start w:val="1"/>
      <w:numFmt w:val="bullet"/>
      <w:lvlText w:val="o"/>
      <w:lvlJc w:val="left"/>
      <w:pPr>
        <w:ind w:left="1781" w:hanging="360"/>
      </w:pPr>
      <w:rPr>
        <w:rFonts w:ascii="Courier New" w:hAnsi="Courier New" w:cs="Courier New" w:hint="default"/>
      </w:rPr>
    </w:lvl>
    <w:lvl w:ilvl="2" w:tplc="040C0005" w:tentative="1">
      <w:start w:val="1"/>
      <w:numFmt w:val="bullet"/>
      <w:lvlText w:val=""/>
      <w:lvlJc w:val="left"/>
      <w:pPr>
        <w:ind w:left="2501" w:hanging="360"/>
      </w:pPr>
      <w:rPr>
        <w:rFonts w:ascii="Wingdings" w:hAnsi="Wingdings" w:hint="default"/>
      </w:rPr>
    </w:lvl>
    <w:lvl w:ilvl="3" w:tplc="040C0001" w:tentative="1">
      <w:start w:val="1"/>
      <w:numFmt w:val="bullet"/>
      <w:lvlText w:val=""/>
      <w:lvlJc w:val="left"/>
      <w:pPr>
        <w:ind w:left="3221" w:hanging="360"/>
      </w:pPr>
      <w:rPr>
        <w:rFonts w:ascii="Symbol" w:hAnsi="Symbol" w:hint="default"/>
      </w:rPr>
    </w:lvl>
    <w:lvl w:ilvl="4" w:tplc="040C0003" w:tentative="1">
      <w:start w:val="1"/>
      <w:numFmt w:val="bullet"/>
      <w:lvlText w:val="o"/>
      <w:lvlJc w:val="left"/>
      <w:pPr>
        <w:ind w:left="3941" w:hanging="360"/>
      </w:pPr>
      <w:rPr>
        <w:rFonts w:ascii="Courier New" w:hAnsi="Courier New" w:cs="Courier New" w:hint="default"/>
      </w:rPr>
    </w:lvl>
    <w:lvl w:ilvl="5" w:tplc="040C0005" w:tentative="1">
      <w:start w:val="1"/>
      <w:numFmt w:val="bullet"/>
      <w:lvlText w:val=""/>
      <w:lvlJc w:val="left"/>
      <w:pPr>
        <w:ind w:left="4661" w:hanging="360"/>
      </w:pPr>
      <w:rPr>
        <w:rFonts w:ascii="Wingdings" w:hAnsi="Wingdings" w:hint="default"/>
      </w:rPr>
    </w:lvl>
    <w:lvl w:ilvl="6" w:tplc="040C0001" w:tentative="1">
      <w:start w:val="1"/>
      <w:numFmt w:val="bullet"/>
      <w:lvlText w:val=""/>
      <w:lvlJc w:val="left"/>
      <w:pPr>
        <w:ind w:left="5381" w:hanging="360"/>
      </w:pPr>
      <w:rPr>
        <w:rFonts w:ascii="Symbol" w:hAnsi="Symbol" w:hint="default"/>
      </w:rPr>
    </w:lvl>
    <w:lvl w:ilvl="7" w:tplc="040C0003" w:tentative="1">
      <w:start w:val="1"/>
      <w:numFmt w:val="bullet"/>
      <w:lvlText w:val="o"/>
      <w:lvlJc w:val="left"/>
      <w:pPr>
        <w:ind w:left="6101" w:hanging="360"/>
      </w:pPr>
      <w:rPr>
        <w:rFonts w:ascii="Courier New" w:hAnsi="Courier New" w:cs="Courier New" w:hint="default"/>
      </w:rPr>
    </w:lvl>
    <w:lvl w:ilvl="8" w:tplc="040C0005" w:tentative="1">
      <w:start w:val="1"/>
      <w:numFmt w:val="bullet"/>
      <w:lvlText w:val=""/>
      <w:lvlJc w:val="left"/>
      <w:pPr>
        <w:ind w:left="68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92201"/>
    <w:rsid w:val="0007520A"/>
    <w:rsid w:val="000A2442"/>
    <w:rsid w:val="000B289D"/>
    <w:rsid w:val="00274AA1"/>
    <w:rsid w:val="003A27E0"/>
    <w:rsid w:val="003A45B0"/>
    <w:rsid w:val="003E5CEE"/>
    <w:rsid w:val="004826AE"/>
    <w:rsid w:val="0048708F"/>
    <w:rsid w:val="004B69C8"/>
    <w:rsid w:val="005A4B0A"/>
    <w:rsid w:val="005D3011"/>
    <w:rsid w:val="006255FA"/>
    <w:rsid w:val="006B4626"/>
    <w:rsid w:val="00713ADD"/>
    <w:rsid w:val="00750C1B"/>
    <w:rsid w:val="00832FDC"/>
    <w:rsid w:val="00833935"/>
    <w:rsid w:val="008A2022"/>
    <w:rsid w:val="00975B0E"/>
    <w:rsid w:val="00985420"/>
    <w:rsid w:val="009B286E"/>
    <w:rsid w:val="00A63E93"/>
    <w:rsid w:val="00AC7990"/>
    <w:rsid w:val="00B92201"/>
    <w:rsid w:val="00BF737B"/>
    <w:rsid w:val="00C46709"/>
    <w:rsid w:val="00CB59E7"/>
    <w:rsid w:val="00CC4536"/>
    <w:rsid w:val="00D7089B"/>
    <w:rsid w:val="00D80F35"/>
    <w:rsid w:val="00E92C53"/>
    <w:rsid w:val="00F440B0"/>
    <w:rsid w:val="00F6179C"/>
    <w:rsid w:val="00F94DAD"/>
    <w:rsid w:val="00FE712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8F"/>
    <w:pPr>
      <w:spacing w:after="0" w:line="240" w:lineRule="auto"/>
    </w:pPr>
    <w:rPr>
      <w:rFonts w:ascii="Calibri" w:eastAsia="Calibri" w:hAnsi="Calibri" w:cs="Arial"/>
      <w:sz w:val="20"/>
      <w:szCs w:val="20"/>
    </w:rPr>
  </w:style>
  <w:style w:type="paragraph" w:styleId="Titre1">
    <w:name w:val="heading 1"/>
    <w:basedOn w:val="Normal"/>
    <w:next w:val="Normal"/>
    <w:link w:val="Titre1Car"/>
    <w:uiPriority w:val="9"/>
    <w:qFormat/>
    <w:rsid w:val="00E92C53"/>
    <w:pPr>
      <w:keepNext/>
      <w:keepLines/>
      <w:pBdr>
        <w:bottom w:val="single" w:sz="8" w:space="1" w:color="FF0000"/>
      </w:pBdr>
      <w:outlineLvl w:val="0"/>
    </w:pPr>
    <w:rPr>
      <w:rFonts w:asciiTheme="minorHAnsi" w:eastAsiaTheme="majorEastAsia" w:hAnsiTheme="minorHAnsi" w:cstheme="majorBidi"/>
      <w:b/>
      <w:bCs/>
      <w:color w:val="FF0000"/>
      <w:sz w:val="26"/>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4870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CB59E7"/>
    <w:pPr>
      <w:tabs>
        <w:tab w:val="center" w:pos="4536"/>
        <w:tab w:val="right" w:pos="9072"/>
      </w:tabs>
    </w:pPr>
  </w:style>
  <w:style w:type="character" w:customStyle="1" w:styleId="En-tteCar">
    <w:name w:val="En-tête Car"/>
    <w:basedOn w:val="Policepardfaut"/>
    <w:link w:val="En-tte"/>
    <w:uiPriority w:val="99"/>
    <w:semiHidden/>
    <w:rsid w:val="00CB59E7"/>
    <w:rPr>
      <w:rFonts w:ascii="Calibri" w:eastAsia="Calibri" w:hAnsi="Calibri" w:cs="Arial"/>
      <w:sz w:val="20"/>
      <w:szCs w:val="20"/>
    </w:rPr>
  </w:style>
  <w:style w:type="paragraph" w:styleId="Pieddepage">
    <w:name w:val="footer"/>
    <w:basedOn w:val="Normal"/>
    <w:link w:val="PieddepageCar"/>
    <w:uiPriority w:val="99"/>
    <w:semiHidden/>
    <w:unhideWhenUsed/>
    <w:rsid w:val="00CB59E7"/>
    <w:pPr>
      <w:tabs>
        <w:tab w:val="center" w:pos="4536"/>
        <w:tab w:val="right" w:pos="9072"/>
      </w:tabs>
    </w:pPr>
  </w:style>
  <w:style w:type="character" w:customStyle="1" w:styleId="PieddepageCar">
    <w:name w:val="Pied de page Car"/>
    <w:basedOn w:val="Policepardfaut"/>
    <w:link w:val="Pieddepage"/>
    <w:uiPriority w:val="99"/>
    <w:semiHidden/>
    <w:rsid w:val="00CB59E7"/>
    <w:rPr>
      <w:rFonts w:ascii="Calibri" w:eastAsia="Calibri" w:hAnsi="Calibri" w:cs="Arial"/>
      <w:sz w:val="20"/>
      <w:szCs w:val="20"/>
    </w:rPr>
  </w:style>
  <w:style w:type="paragraph" w:styleId="Textedebulles">
    <w:name w:val="Balloon Text"/>
    <w:basedOn w:val="Normal"/>
    <w:link w:val="TextedebullesCar"/>
    <w:uiPriority w:val="99"/>
    <w:semiHidden/>
    <w:unhideWhenUsed/>
    <w:rsid w:val="00C46709"/>
    <w:rPr>
      <w:rFonts w:ascii="Tahoma" w:hAnsi="Tahoma" w:cs="Tahoma"/>
      <w:sz w:val="16"/>
      <w:szCs w:val="16"/>
    </w:rPr>
  </w:style>
  <w:style w:type="character" w:customStyle="1" w:styleId="TextedebullesCar">
    <w:name w:val="Texte de bulles Car"/>
    <w:basedOn w:val="Policepardfaut"/>
    <w:link w:val="Textedebulles"/>
    <w:uiPriority w:val="99"/>
    <w:semiHidden/>
    <w:rsid w:val="00C46709"/>
    <w:rPr>
      <w:rFonts w:ascii="Tahoma" w:eastAsia="Calibri" w:hAnsi="Tahoma" w:cs="Tahoma"/>
      <w:sz w:val="16"/>
      <w:szCs w:val="16"/>
    </w:rPr>
  </w:style>
  <w:style w:type="character" w:customStyle="1" w:styleId="Titre1Car">
    <w:name w:val="Titre 1 Car"/>
    <w:basedOn w:val="Policepardfaut"/>
    <w:link w:val="Titre1"/>
    <w:uiPriority w:val="9"/>
    <w:rsid w:val="00E92C53"/>
    <w:rPr>
      <w:rFonts w:eastAsiaTheme="majorEastAsia" w:cstheme="majorBidi"/>
      <w:b/>
      <w:bCs/>
      <w:color w:val="FF0000"/>
      <w:sz w:val="26"/>
      <w:szCs w:val="28"/>
    </w:rPr>
  </w:style>
  <w:style w:type="paragraph" w:styleId="Paragraphedeliste">
    <w:name w:val="List Paragraph"/>
    <w:basedOn w:val="Normal"/>
    <w:uiPriority w:val="34"/>
    <w:qFormat/>
    <w:rsid w:val="0083393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8</Pages>
  <Words>3278</Words>
  <Characters>18033</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16</cp:revision>
  <dcterms:created xsi:type="dcterms:W3CDTF">2017-03-09T18:01:00Z</dcterms:created>
  <dcterms:modified xsi:type="dcterms:W3CDTF">2017-03-10T01:20:00Z</dcterms:modified>
</cp:coreProperties>
</file>